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-7072" coordorigin="62,1983" coordsize="11783,787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794" coordorigin="62,8412" coordsize="11783,794" path="m11845,8412l11289,8412,7615,8412,2897,8412,62,8412,62,8951,62,9206,2897,9206,7615,9206,11289,9206,11845,9206,11845,8951,11845,8412e" filled="true" fillcolor="#f4f4f4" stroked="false">
              <v:path arrowok="t"/>
              <v:fill type="solid"/>
            </v:shape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coordorigin="62,9206" coordsize="11783,256" path="m11845,9206l11289,9206,7615,9206,2897,9206,62,9206,62,9461,2897,9461,7615,9461,11289,9461,11845,9461,11845,9206e" filled="true" fillcolor="#f4f4f4" stroked="false">
              <v:path arrowok="t"/>
              <v:fill type="solid"/>
            </v:shape>
            <v:rect style="position:absolute;left:2897;top:9438;width:4718;height:23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10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Clip-Verblendung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3464;top:4250;width:6600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Mehrbahnige Lauf- und Führungsschienen reduzieren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Montageaufwand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692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692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752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741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741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996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tabs>
          <w:tab w:pos="2438" w:val="left" w:leader="none"/>
        </w:tabs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59" w:val="left" w:leader="none"/>
        </w:tabs>
        <w:ind w:left="2459" w:right="142" w:hanging="2347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Divido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</w:t>
      </w:r>
      <w:r>
        <w:rPr>
          <w:spacing w:val="-4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Clip-Blende,</w:t>
      </w:r>
      <w:r>
        <w:rPr>
          <w:spacing w:val="-4"/>
        </w:rPr>
        <w:t> </w:t>
      </w:r>
      <w:r>
        <w:rPr/>
        <w:t>Laufwerk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Kugel- lagerrollen, Tragflansch, Stopper mit Rückhaltefeder,</w:t>
      </w:r>
      <w:r>
        <w:rPr>
          <w:spacing w:val="-9"/>
        </w:rPr>
        <w:t> </w:t>
      </w:r>
      <w:r>
        <w:rPr/>
        <w:t>Bodenführung.</w:t>
      </w:r>
    </w:p>
    <w:p>
      <w:pPr>
        <w:pStyle w:val="BodyText"/>
        <w:spacing w:before="2"/>
      </w:pPr>
    </w:p>
    <w:p>
      <w:pPr>
        <w:pStyle w:val="BodyText"/>
        <w:spacing w:line="231" w:lineRule="exact" w:before="1"/>
        <w:ind w:left="2459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Mehrbahnige</w:t>
      </w:r>
      <w:r>
        <w:rPr>
          <w:spacing w:val="-3"/>
        </w:rPr>
        <w:t> </w:t>
      </w:r>
      <w:r>
        <w:rPr/>
        <w:t>Laufschiene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Zwischenblende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Clip-Teil für Holz- und</w:t>
      </w:r>
      <w:r>
        <w:rPr>
          <w:spacing w:val="-10"/>
        </w:rPr>
        <w:t> </w:t>
      </w:r>
      <w:r>
        <w:rPr/>
        <w:t>Aluminiumblende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Dämpfeinzug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Abdeckkappe zu</w:t>
      </w:r>
      <w:r>
        <w:rPr>
          <w:spacing w:val="-4"/>
        </w:rPr>
        <w:t> </w:t>
      </w:r>
      <w:r>
        <w:rPr/>
        <w:t>Montageöffnung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Bodenführungs-Set für Wandmontage mit</w:t>
      </w:r>
      <w:r>
        <w:rPr>
          <w:spacing w:val="-7"/>
        </w:rPr>
        <w:t> </w:t>
      </w:r>
      <w:r>
        <w:rPr/>
        <w:t>Rolle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Wandausgleichprofil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5681646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2023-02-23T08:11:30Z</dcterms:created>
  <dcterms:modified xsi:type="dcterms:W3CDTF">2023-02-23T08:11:30Z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