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-6952" coordorigin="62,1983" coordsize="11783,7365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coordorigin="62,7902" coordsize="11783,539" path="m11845,7902l11289,7902,7615,7902,2897,7902,62,7902,62,8441,2897,8441,7615,8441,11289,8441,11845,8441,11845,7902e" filled="true" fillcolor="#f4f4f4" stroked="false">
              <v:path arrowok="t"/>
              <v:fill type="solid"/>
            </v:shape>
            <v:rect style="position:absolute;left:2897;top:8417;width:4718;height:23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coordorigin="62,8441" coordsize="11783,256" path="m11845,8441l11289,8441,7615,8441,2897,8441,62,8441,62,8696,2897,8696,7615,8696,11289,8696,11845,8696,11845,8441e" filled="true" fillcolor="#f4f4f4" stroked="false">
              <v:path arrowok="t"/>
              <v:fill type="solid"/>
            </v:shape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coordorigin="62,8696" coordsize="11783,256" path="m11845,8696l11289,8696,7615,8696,2897,8696,62,8696,62,8951,2897,8951,7615,8951,11289,8951,11845,8951,11845,8696e" filled="true" fillcolor="#f4f4f4" stroked="false">
              <v:path arrowok="t"/>
              <v:fill type="solid"/>
            </v:shape>
            <v:rect style="position:absolute;left:2897;top:8928;width:4718;height:23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filled="true" fillcolor="#f4f4f4" stroked="false">
              <v:fill type="solid"/>
            </v:rect>
            <v:shape style="position:absolute;left:572;top:2243;width:969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unten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eingelassener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Optional mit Dämpfeinzug.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7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Ein- zwei- oder dreibahnige Systeme als Türe oder Raumtrenner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einsetzbar</w:t>
                    </w:r>
                  </w:p>
                </w:txbxContent>
              </v:textbox>
              <w10:wrap type="none"/>
            </v:shape>
            <v:shape style="position:absolute;left:3464;top:4256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250;width:612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Leichtes und ruhiges Schieben, Abbremsen und Schliessen der Türe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mit Dämpfeinzugssystem</w:t>
                    </w:r>
                  </w:p>
                </w:txbxContent>
              </v:textbox>
              <w10:wrap type="none"/>
            </v:shape>
            <v:shape style="position:absolute;left:572;top:5112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112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 (5.9–10)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Ja</w:t>
                    </w:r>
                  </w:p>
                  <w:p>
                    <w:pPr>
                      <w:spacing w:line="261" w:lineRule="auto" w:before="2"/>
                      <w:ind w:left="0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Glas Holz Mix Aluminium eloxiert</w:t>
                    </w:r>
                  </w:p>
                </w:txbxContent>
              </v:textbox>
              <w10:wrap type="none"/>
            </v:shape>
            <v:shape style="position:absolute;left:572;top:7692;width:3546;height:211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Untenlaufend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242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30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230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485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tabs>
          <w:tab w:pos="2438" w:val="left" w:leader="none"/>
        </w:tabs>
        <w:ind w:left="112"/>
      </w:pPr>
      <w:r>
        <w:rPr/>
        <w:t>Durchgeführte</w:t>
      </w:r>
      <w:r>
        <w:rPr>
          <w:spacing w:val="-4"/>
        </w:rPr>
        <w:t> </w:t>
      </w:r>
      <w:r>
        <w:rPr/>
        <w:t>Tests</w:t>
        <w:tab/>
        <w:t>Schlösser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Baubeschläge</w:t>
      </w:r>
      <w:r>
        <w:rPr>
          <w:spacing w:val="-8"/>
        </w:rPr>
        <w:t> </w:t>
      </w:r>
      <w:r>
        <w:rPr/>
        <w:t>–</w:t>
      </w:r>
      <w:r>
        <w:rPr>
          <w:spacing w:val="-7"/>
        </w:rPr>
        <w:t> </w:t>
      </w:r>
      <w:r>
        <w:rPr/>
        <w:t>Beschläge</w:t>
      </w:r>
      <w:r>
        <w:rPr>
          <w:spacing w:val="-7"/>
        </w:rPr>
        <w:t> </w:t>
      </w:r>
      <w:r>
        <w:rPr/>
        <w:t>für</w:t>
      </w:r>
      <w:r>
        <w:rPr>
          <w:spacing w:val="-8"/>
        </w:rPr>
        <w:t> </w:t>
      </w:r>
      <w:r>
        <w:rPr/>
        <w:t>Schiebetüren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Falttüren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1527</w:t>
      </w:r>
      <w:r>
        <w:rPr>
          <w:spacing w:val="-7"/>
        </w:rPr>
        <w:t> </w:t>
      </w:r>
      <w:r>
        <w:rPr/>
        <w:t>/</w:t>
      </w:r>
      <w:r>
        <w:rPr>
          <w:spacing w:val="-7"/>
        </w:rPr>
        <w:t> </w:t>
      </w:r>
      <w:r>
        <w:rPr/>
        <w:t>1998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Überlastprüfung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Funktionsprüfung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409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6"/>
        </w:rPr>
        <w:t> </w:t>
      </w:r>
      <w:r>
        <w:rPr/>
        <w:t>Divido</w:t>
      </w:r>
      <w:r>
        <w:rPr>
          <w:spacing w:val="-5"/>
        </w:rPr>
        <w:t> </w:t>
      </w:r>
      <w:r>
        <w:rPr/>
        <w:t>80</w:t>
      </w:r>
      <w:r>
        <w:rPr>
          <w:spacing w:val="-7"/>
        </w:rPr>
        <w:t> </w:t>
      </w:r>
      <w:r>
        <w:rPr/>
        <w:t>GR</w:t>
      </w:r>
      <w:r>
        <w:rPr>
          <w:spacing w:val="-6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6"/>
        </w:rPr>
        <w:t> </w:t>
      </w:r>
      <w:r>
        <w:rPr/>
        <w:t>unten</w:t>
      </w:r>
      <w:r>
        <w:rPr>
          <w:spacing w:val="-6"/>
        </w:rPr>
        <w:t> </w:t>
      </w:r>
      <w:r>
        <w:rPr/>
        <w:t>(Aluminium),</w:t>
      </w:r>
      <w:r>
        <w:rPr>
          <w:spacing w:val="-6"/>
        </w:rPr>
        <w:t> </w:t>
      </w:r>
      <w:r>
        <w:rPr/>
        <w:t>Führungsschiene</w:t>
      </w:r>
      <w:r>
        <w:rPr>
          <w:spacing w:val="-6"/>
        </w:rPr>
        <w:t> </w:t>
      </w:r>
      <w:r>
        <w:rPr/>
        <w:t>oben, Laufwerk mit Kugellagerrollen und Laufwerkhalter unten, Führungsgarnitur oben, Glasrahmenprofil Aluminium,</w:t>
      </w:r>
      <w:r>
        <w:rPr>
          <w:spacing w:val="-4"/>
        </w:rPr>
        <w:t> </w:t>
      </w:r>
      <w:r>
        <w:rPr/>
        <w:t>Stopper.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Mehrbahnige Laufschiene</w:t>
      </w:r>
      <w:r>
        <w:rPr>
          <w:spacing w:val="-3"/>
        </w:rPr>
        <w:t> </w:t>
      </w:r>
      <w:r>
        <w:rPr/>
        <w:t>unten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Mehrbahnige Führugsschiene</w:t>
      </w:r>
      <w:r>
        <w:rPr>
          <w:spacing w:val="-3"/>
        </w:rPr>
        <w:t> </w:t>
      </w:r>
      <w:r>
        <w:rPr/>
        <w:t>oben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Rahmensprossen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Rahmenprofil mit Griff</w:t>
      </w:r>
      <w:r>
        <w:rPr>
          <w:spacing w:val="-6"/>
        </w:rPr>
        <w:t> </w:t>
      </w:r>
      <w:r>
        <w:rPr/>
        <w:t>vertikal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Dämpfeinzug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Türe mit Dachschräge, oben geführt</w:t>
      </w:r>
      <w:r>
        <w:rPr>
          <w:spacing w:val="-8"/>
        </w:rPr>
        <w:t> </w:t>
      </w:r>
      <w:r>
        <w:rPr/>
        <w:t>DS2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Türe mit Dachschräge, am Tablar geführt</w:t>
      </w:r>
      <w:r>
        <w:rPr>
          <w:spacing w:val="-7"/>
        </w:rPr>
        <w:t> </w:t>
      </w:r>
      <w:r>
        <w:rPr/>
        <w:t>DS3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Türe mit Dachschräge, in Spitz laufend am Tablar geführt</w:t>
      </w:r>
      <w:r>
        <w:rPr>
          <w:spacing w:val="-14"/>
        </w:rPr>
        <w:t> </w:t>
      </w:r>
      <w:r>
        <w:rPr/>
        <w:t>DS4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</w:t>
      </w:r>
      <w:r>
        <w:rPr>
          <w:spacing w:val="-3"/>
        </w:rPr>
        <w:t> </w:t>
      </w:r>
      <w:r>
        <w:rPr/>
        <w:t>Wandausgleichsprofil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 w:before="1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Profile rechtwinklig geschnitten und</w:t>
      </w:r>
      <w:r>
        <w:rPr>
          <w:spacing w:val="-4"/>
          <w:sz w:val="20"/>
        </w:rPr>
        <w:t> </w:t>
      </w:r>
      <w:r>
        <w:rPr>
          <w:sz w:val="20"/>
        </w:rPr>
        <w:t>verschraubt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Bohrung für Gehäuse Befestigung</w:t>
      </w:r>
      <w:r>
        <w:rPr>
          <w:spacing w:val="-1"/>
          <w:sz w:val="20"/>
        </w:rPr>
        <w:t> </w:t>
      </w:r>
      <w:r>
        <w:rPr>
          <w:sz w:val="20"/>
        </w:rPr>
        <w:t>unten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19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6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91">
          <wp:simplePos x="0" y="0"/>
          <wp:positionH relativeFrom="page">
            <wp:posOffset>5645641</wp:posOffset>
          </wp:positionH>
          <wp:positionV relativeFrom="page">
            <wp:posOffset>827043</wp:posOffset>
          </wp:positionV>
          <wp:extent cx="1018951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18951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5.7pt;height:13.9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GR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2023-02-23T16:05:45Z</dcterms:created>
  <dcterms:modified xsi:type="dcterms:W3CDTF">2023-02-23T16:05:45Z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2023-02-23T00:00:00Z</vt:filetime>
  </property>
</Properties>
</file>