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29"/>
        </w:rPr>
      </w:pPr>
    </w:p>
    <w:p>
      <w:pPr>
        <w:pStyle w:val="BodyText"/>
        <w:tabs>
          <w:tab w:pos="2461" w:val="left" w:leader="none"/>
        </w:tabs>
        <w:spacing w:line="247" w:lineRule="exact" w:before="45"/>
        <w:ind w:left="112"/>
      </w:pPr>
      <w:r>
        <w:rPr>
          <w:b/>
          <w:position w:val="1"/>
        </w:rPr>
        <w:t>Durchgeführte</w:t>
      </w:r>
      <w:r>
        <w:rPr>
          <w:b/>
          <w:spacing w:val="-4"/>
          <w:position w:val="1"/>
        </w:rPr>
        <w:t> </w:t>
      </w:r>
      <w:r>
        <w:rPr>
          <w:b/>
          <w:position w:val="1"/>
        </w:rPr>
        <w:t>Tests</w:t>
        <w:tab/>
      </w:r>
      <w:r>
        <w:rPr/>
        <w:t>Schlösser</w:t>
      </w:r>
      <w:r>
        <w:rPr>
          <w:spacing w:val="-3"/>
        </w:rPr>
        <w:t> </w:t>
      </w:r>
      <w:r>
        <w:rPr/>
        <w:t>und</w:t>
      </w:r>
      <w:r>
        <w:rPr>
          <w:spacing w:val="-4"/>
        </w:rPr>
        <w:t> </w:t>
      </w:r>
      <w:r>
        <w:rPr/>
        <w:t>Baubeschläge</w:t>
      </w:r>
      <w:r>
        <w:rPr>
          <w:spacing w:val="-2"/>
        </w:rPr>
        <w:t> </w:t>
      </w:r>
      <w:r>
        <w:rPr/>
        <w:t>–</w:t>
      </w:r>
      <w:r>
        <w:rPr>
          <w:spacing w:val="-3"/>
        </w:rPr>
        <w:t> </w:t>
      </w:r>
      <w:r>
        <w:rPr/>
        <w:t>Beschläge</w:t>
      </w:r>
      <w:r>
        <w:rPr>
          <w:spacing w:val="-2"/>
        </w:rPr>
        <w:t> </w:t>
      </w:r>
      <w:r>
        <w:rPr/>
        <w:t>für</w:t>
      </w:r>
      <w:r>
        <w:rPr>
          <w:spacing w:val="-3"/>
        </w:rPr>
        <w:t> </w:t>
      </w:r>
      <w:r>
        <w:rPr/>
        <w:t>Schiebetüren</w:t>
      </w:r>
      <w:r>
        <w:rPr>
          <w:spacing w:val="-4"/>
        </w:rPr>
        <w:t> </w:t>
      </w:r>
      <w:r>
        <w:rPr/>
        <w:t>und</w:t>
      </w:r>
      <w:r>
        <w:rPr>
          <w:spacing w:val="-3"/>
        </w:rPr>
        <w:t> </w:t>
      </w:r>
      <w:r>
        <w:rPr/>
        <w:t>nach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13659</w:t>
      </w:r>
      <w:r>
        <w:rPr>
          <w:spacing w:val="-4"/>
        </w:rPr>
        <w:t> </w:t>
      </w:r>
      <w:r>
        <w:rPr/>
        <w:t>DIN</w:t>
      </w:r>
      <w:r>
        <w:rPr>
          <w:spacing w:val="-3"/>
        </w:rPr>
        <w:t> </w:t>
      </w:r>
      <w:r>
        <w:rPr/>
        <w:t>EN</w:t>
      </w:r>
      <w:r>
        <w:rPr>
          <w:spacing w:val="-4"/>
        </w:rPr>
        <w:t> </w:t>
      </w:r>
      <w:r>
        <w:rPr/>
        <w:t>1670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Widerstand gegen Windlast; Klasse 6 nach EN</w:t>
      </w:r>
      <w:r>
        <w:rPr>
          <w:spacing w:val="-9"/>
          <w:sz w:val="20"/>
        </w:rPr>
        <w:t> </w:t>
      </w:r>
      <w:r>
        <w:rPr>
          <w:sz w:val="20"/>
        </w:rPr>
        <w:t>13659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3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Bedienkraft: Klasse 1 nach EN</w:t>
      </w:r>
      <w:r>
        <w:rPr>
          <w:spacing w:val="-5"/>
          <w:sz w:val="20"/>
        </w:rPr>
        <w:t> </w:t>
      </w:r>
      <w:r>
        <w:rPr>
          <w:sz w:val="20"/>
        </w:rPr>
        <w:t>13659</w:t>
      </w:r>
    </w:p>
    <w:p>
      <w:pPr>
        <w:pStyle w:val="BodyText"/>
        <w:spacing w:before="10"/>
        <w:rPr>
          <w:sz w:val="12"/>
        </w:rPr>
      </w:pPr>
    </w:p>
    <w:p>
      <w:pPr>
        <w:pStyle w:val="BodyText"/>
        <w:spacing w:line="233" w:lineRule="exact" w:before="98"/>
        <w:ind w:left="2461"/>
      </w:pPr>
      <w:r>
        <w:rPr/>
        <w:t>Möbelschlösser und -beschläge – Rollenbeschläge für Schiebetüren nach DIN EN 1670</w:t>
      </w:r>
    </w:p>
    <w:p>
      <w:pPr>
        <w:pStyle w:val="ListParagraph"/>
        <w:numPr>
          <w:ilvl w:val="0"/>
          <w:numId w:val="1"/>
        </w:numPr>
        <w:tabs>
          <w:tab w:pos="2617" w:val="left" w:leader="none"/>
        </w:tabs>
        <w:spacing w:line="233" w:lineRule="exact" w:before="0" w:after="0"/>
        <w:ind w:left="2616" w:right="0" w:hanging="155"/>
        <w:jc w:val="left"/>
        <w:rPr>
          <w:sz w:val="20"/>
        </w:rPr>
      </w:pPr>
      <w:r>
        <w:rPr>
          <w:sz w:val="20"/>
        </w:rPr>
        <w:t>Korrosionsbeständigkeit</w:t>
      </w:r>
    </w:p>
    <w:p>
      <w:pPr>
        <w:pStyle w:val="BodyText"/>
        <w:spacing w:before="4"/>
        <w:ind w:left="2629"/>
      </w:pPr>
      <w:r>
        <w:rPr/>
        <w:t>Klasse 4 (sehr hohe Beständigkeit, Aussenbereich mit sehr harte Bedingungen)</w:t>
      </w:r>
    </w:p>
    <w:p>
      <w:pPr>
        <w:pStyle w:val="BodyText"/>
      </w:pPr>
    </w:p>
    <w:p>
      <w:pPr>
        <w:pStyle w:val="BodyText"/>
        <w:spacing w:before="1"/>
        <w:rPr>
          <w:sz w:val="16"/>
        </w:rPr>
      </w:pPr>
    </w:p>
    <w:p>
      <w:pPr>
        <w:spacing w:after="0"/>
        <w:rPr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700" w:bottom="1300" w:left="460" w:right="480"/>
          <w:pgNumType w:start="1"/>
        </w:sectPr>
      </w:pPr>
    </w:p>
    <w:p>
      <w:pPr>
        <w:pStyle w:val="Heading1"/>
        <w:spacing w:before="86"/>
      </w:pPr>
      <w:r>
        <w:rPr/>
        <w:pict>
          <v:group style="position:absolute;margin-left:3.118575pt;margin-top:99.139702pt;width:589.15pt;height:354.1pt;mso-position-horizontal-relative:page;mso-position-vertical-relative:page;z-index:-6664" coordorigin="62,1983" coordsize="11783,7082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441" coordorigin="62,3344" coordsize="11766,1441" path="m3464,4092l2897,4092,62,4092,62,4784,2897,4784,3464,4784,3464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914;top:4148;width:482;height:454" type="#_x0000_t75" stroked="false">
              <v:imagedata r:id="rId8" o:title=""/>
            </v:shape>
            <v:shape style="position:absolute;left:62;top:4091;width:11783;height:1231" coordorigin="62,4092" coordsize="11783,1231" path="m11845,4784l11834,4784,11834,4092,11119,4092,4882,4092,3464,4092,3464,4784,2897,4784,62,4784,62,5322,2897,5322,7615,5322,11289,5322,11845,5322,11845,4784e" filled="true" fillcolor="#f4f4f4" stroked="false">
              <v:path arrowok="t"/>
              <v:fill type="solid"/>
            </v:shape>
            <v:rect style="position:absolute;left:2897;top:5299;width:4718;height:23" filled="true" fillcolor="#dcdcdc" stroked="false">
              <v:fill type="solid"/>
            </v:rect>
            <v:line style="position:absolute" from="2909,5311" to="7604,5311" stroked="true" strokeweight="0pt" strokecolor="#dcdcdc">
              <v:stroke dashstyle="solid"/>
            </v:line>
            <v:rect style="position:absolute;left:7615;top:5299;width:3675;height:23" filled="true" fillcolor="#dcdcdc" stroked="false">
              <v:fill type="solid"/>
            </v:rect>
            <v:line style="position:absolute" from="7626,5311" to="11278,5311" stroked="true" strokeweight="0pt" strokecolor="#dcdcdc">
              <v:stroke dashstyle="solid"/>
            </v:line>
            <v:shape style="position:absolute;left:62;top:5322;width:11783;height:256" coordorigin="62,5322" coordsize="11783,256" path="m11845,5322l11289,5322,7615,5322,2897,5322,62,5322,62,5577,2897,5577,7615,5577,11289,5577,11845,5577,11845,5322e" filled="true" fillcolor="#f4f4f4" stroked="false">
              <v:path arrowok="t"/>
              <v:fill type="solid"/>
            </v:shape>
            <v:rect style="position:absolute;left:2897;top:5554;width:4718;height:23" filled="true" fillcolor="#dcdcdc" stroked="false">
              <v:fill type="solid"/>
            </v:rect>
            <v:line style="position:absolute" from="2909,5566" to="7604,5566" stroked="true" strokeweight="0pt" strokecolor="#dcdcdc">
              <v:stroke dashstyle="solid"/>
            </v:line>
            <v:rect style="position:absolute;left:7615;top:5554;width:3675;height:23" filled="true" fillcolor="#dcdcdc" stroked="false">
              <v:fill type="solid"/>
            </v:rect>
            <v:line style="position:absolute" from="7626,5566" to="11278,5566" stroked="true" strokeweight="0pt" strokecolor="#dcdcdc">
              <v:stroke dashstyle="solid"/>
            </v:line>
            <v:shape style="position:absolute;left:62;top:5577;width:11783;height:256" coordorigin="62,5577" coordsize="11783,256" path="m11845,5577l11289,5577,7615,5577,2897,5577,62,5577,62,5833,2897,5833,7615,5833,11289,5833,11845,5833,11845,5577e" filled="true" fillcolor="#f4f4f4" stroked="false">
              <v:path arrowok="t"/>
              <v:fill type="solid"/>
            </v:shape>
            <v:rect style="position:absolute;left:2897;top:5809;width:4718;height:23" filled="true" fillcolor="#dcdcdc" stroked="false">
              <v:fill type="solid"/>
            </v:rect>
            <v:line style="position:absolute" from="2909,5821" to="7604,5821" stroked="true" strokeweight="0pt" strokecolor="#dcdcdc">
              <v:stroke dashstyle="solid"/>
            </v:line>
            <v:rect style="position:absolute;left:7615;top:5809;width:3675;height:23" filled="true" fillcolor="#dcdcdc" stroked="false">
              <v:fill type="solid"/>
            </v:rect>
            <v:line style="position:absolute" from="7626,5821" to="11278,5821" stroked="true" strokeweight="0pt" strokecolor="#dcdcdc">
              <v:stroke dashstyle="solid"/>
            </v:line>
            <v:shape style="position:absolute;left:62;top:5832;width:11783;height:511" coordorigin="62,5833" coordsize="11783,511" path="m11845,5833l11289,5833,7615,5833,2897,5833,62,5833,62,6343,2897,6343,7615,6343,11289,6343,11845,6343,11845,5833e" filled="true" fillcolor="#f4f4f4" stroked="false">
              <v:path arrowok="t"/>
              <v:fill type="solid"/>
            </v:shape>
            <v:rect style="position:absolute;left:2897;top:6320;width:4718;height:23" filled="true" fillcolor="#dcdcdc" stroked="false">
              <v:fill type="solid"/>
            </v:rect>
            <v:line style="position:absolute" from="2909,6331" to="7604,6331" stroked="true" strokeweight="0pt" strokecolor="#dcdcdc">
              <v:stroke dashstyle="solid"/>
            </v:line>
            <v:rect style="position:absolute;left:7615;top:6320;width:3675;height:23" filled="true" fillcolor="#dcdcdc" stroked="false">
              <v:fill type="solid"/>
            </v:rect>
            <v:line style="position:absolute" from="7626,6331" to="11278,6331" stroked="true" strokeweight="0pt" strokecolor="#dcdcdc">
              <v:stroke dashstyle="solid"/>
            </v:line>
            <v:shape style="position:absolute;left:62;top:6342;width:11783;height:256" coordorigin="62,6343" coordsize="11783,256" path="m11845,6343l11289,6343,7615,6343,2897,6343,62,6343,62,6598,2897,6598,7615,6598,11289,6598,11845,6598,11845,6343e" filled="true" fillcolor="#f4f4f4" stroked="false">
              <v:path arrowok="t"/>
              <v:fill type="solid"/>
            </v:shape>
            <v:rect style="position:absolute;left:2897;top:6575;width:4718;height:23" filled="true" fillcolor="#dcdcdc" stroked="false">
              <v:fill type="solid"/>
            </v:rect>
            <v:line style="position:absolute" from="2909,6587" to="7604,6587" stroked="true" strokeweight="0pt" strokecolor="#dcdcdc">
              <v:stroke dashstyle="solid"/>
            </v:line>
            <v:rect style="position:absolute;left:7615;top:6575;width:3675;height:23" filled="true" fillcolor="#dcdcdc" stroked="false">
              <v:fill type="solid"/>
            </v:rect>
            <v:line style="position:absolute" from="7626,6587" to="11278,6587" stroked="true" strokeweight="0pt" strokecolor="#dcdcdc">
              <v:stroke dashstyle="solid"/>
            </v:line>
            <v:shape style="position:absolute;left:62;top:6597;width:11783;height:256" coordorigin="62,6598" coordsize="11783,256" path="m11845,6598l11289,6598,7615,6598,2897,6598,62,6598,62,6853,2897,6853,7615,6853,11289,6853,11845,6853,11845,6598e" filled="true" fillcolor="#f4f4f4" stroked="false">
              <v:path arrowok="t"/>
              <v:fill type="solid"/>
            </v:shape>
            <v:rect style="position:absolute;left:2897;top:6830;width:4718;height:23" filled="true" fillcolor="#dcdcdc" stroked="false">
              <v:fill type="solid"/>
            </v:rect>
            <v:line style="position:absolute" from="2909,6842" to="7604,6842" stroked="true" strokeweight="0pt" strokecolor="#dcdcdc">
              <v:stroke dashstyle="solid"/>
            </v:line>
            <v:rect style="position:absolute;left:7615;top:6830;width:3675;height:23" filled="true" fillcolor="#dcdcdc" stroked="false">
              <v:fill type="solid"/>
            </v:rect>
            <v:line style="position:absolute" from="7626,6842" to="11278,6842" stroked="true" strokeweight="0pt" strokecolor="#dcdcdc">
              <v:stroke dashstyle="solid"/>
            </v:line>
            <v:shape style="position:absolute;left:62;top:6853;width:11783;height:256" coordorigin="62,6853" coordsize="11783,256" path="m11845,6853l11289,6853,7615,6853,2897,6853,62,6853,62,7108,2897,7108,7615,7108,11289,7108,11845,7108,11845,6853e" filled="true" fillcolor="#f4f4f4" stroked="false">
              <v:path arrowok="t"/>
              <v:fill type="solid"/>
            </v:shape>
            <v:rect style="position:absolute;left:2897;top:7085;width:4718;height:23" filled="true" fillcolor="#dcdcdc" stroked="false">
              <v:fill type="solid"/>
            </v:rect>
            <v:line style="position:absolute" from="2909,7097" to="7604,7097" stroked="true" strokeweight="0pt" strokecolor="#dcdcdc">
              <v:stroke dashstyle="solid"/>
            </v:line>
            <v:rect style="position:absolute;left:7615;top:7085;width:3675;height:23" filled="true" fillcolor="#dcdcdc" stroked="false">
              <v:fill type="solid"/>
            </v:rect>
            <v:line style="position:absolute" from="7626,7097" to="11278,7097" stroked="true" strokeweight="0pt" strokecolor="#dcdcdc">
              <v:stroke dashstyle="solid"/>
            </v:line>
            <v:shape style="position:absolute;left:62;top:7108;width:11783;height:256" coordorigin="62,7108" coordsize="11783,256" path="m11845,7108l11289,7108,7615,7108,2897,7108,62,7108,62,7363,2897,7363,7615,7363,11289,7363,11845,7363,11845,7108e" filled="true" fillcolor="#f4f4f4" stroked="false">
              <v:path arrowok="t"/>
              <v:fill type="solid"/>
            </v:shape>
            <v:rect style="position:absolute;left:2897;top:7340;width:4718;height:23" filled="true" fillcolor="#dcdcdc" stroked="false">
              <v:fill type="solid"/>
            </v:rect>
            <v:line style="position:absolute" from="2909,7352" to="7604,7352" stroked="true" strokeweight="0pt" strokecolor="#dcdcdc">
              <v:stroke dashstyle="solid"/>
            </v:line>
            <v:rect style="position:absolute;left:7615;top:7340;width:3675;height:23" filled="true" fillcolor="#dcdcdc" stroked="false">
              <v:fill type="solid"/>
            </v:rect>
            <v:line style="position:absolute" from="7626,7352" to="11278,7352" stroked="true" strokeweight="0pt" strokecolor="#dcdcdc">
              <v:stroke dashstyle="solid"/>
            </v:line>
            <v:shape style="position:absolute;left:62;top:7363;width:11783;height:539" coordorigin="62,7363" coordsize="11783,539" path="m11845,7363l11289,7363,7615,7363,2897,7363,62,7363,62,7902,2897,7902,7615,7902,11289,7902,11845,7902,11845,7363e" filled="true" fillcolor="#f4f4f4" stroked="false">
              <v:path arrowok="t"/>
              <v:fill type="solid"/>
            </v:shape>
            <v:rect style="position:absolute;left:2897;top:7879;width:4718;height:23" filled="true" fillcolor="#dcdcdc" stroked="false">
              <v:fill type="solid"/>
            </v:rect>
            <v:line style="position:absolute" from="2909,7891" to="7604,7891" stroked="true" strokeweight="0pt" strokecolor="#dcdcdc">
              <v:stroke dashstyle="solid"/>
            </v:line>
            <v:rect style="position:absolute;left:7615;top:7879;width:3675;height:23" filled="true" fillcolor="#dcdcdc" stroked="false">
              <v:fill type="solid"/>
            </v:rect>
            <v:line style="position:absolute" from="7626,7891" to="11278,7891" stroked="true" strokeweight="0pt" strokecolor="#dcdcdc">
              <v:stroke dashstyle="solid"/>
            </v:line>
            <v:shape style="position:absolute;left:62;top:7901;width:11783;height:256" coordorigin="62,7902" coordsize="11783,256" path="m11845,7902l11289,7902,7615,7902,2897,7902,62,7902,62,8157,2897,8157,7615,8157,11289,8157,11845,8157,11845,7902e" filled="true" fillcolor="#f4f4f4" stroked="false">
              <v:path arrowok="t"/>
              <v:fill type="solid"/>
            </v:shape>
            <v:line style="position:absolute" from="7626,8146" to="11278,8146" stroked="true" strokeweight="0pt" strokecolor="#dcdcdc">
              <v:stroke dashstyle="solid"/>
            </v:line>
            <v:shape style="position:absolute;left:62;top:8157;width:11783;height:256" coordorigin="62,8157" coordsize="11783,256" path="m11845,8157l11289,8157,7615,8157,2897,8157,62,8157,62,8412,2897,8412,7615,8412,11289,8412,11845,8412,11845,8157e" filled="true" fillcolor="#f4f4f4" stroked="false">
              <v:path arrowok="t"/>
              <v:fill type="solid"/>
            </v:shape>
            <v:rect style="position:absolute;left:2897;top:8389;width:4718;height:23" filled="true" fillcolor="#dcdcdc" stroked="false">
              <v:fill type="solid"/>
            </v:rect>
            <v:line style="position:absolute" from="2909,8401" to="7604,8401" stroked="true" strokeweight="0pt" strokecolor="#dcdcdc">
              <v:stroke dashstyle="solid"/>
            </v:line>
            <v:rect style="position:absolute;left:7615;top:8389;width:3675;height:23" filled="true" fillcolor="#dcdcdc" stroked="false">
              <v:fill type="solid"/>
            </v:rect>
            <v:line style="position:absolute" from="7626,8401" to="11278,8401" stroked="true" strokeweight="0pt" strokecolor="#dcdcdc">
              <v:stroke dashstyle="solid"/>
            </v:line>
            <v:shape style="position:absolute;left:62;top:8412;width:11783;height:256" coordorigin="62,8412" coordsize="11783,256" path="m11845,8412l11289,8412,7615,8412,2897,8412,62,8412,62,8667,2897,8667,7615,8667,11289,8667,11845,8667,11845,8412e" filled="true" fillcolor="#f4f4f4" stroked="false">
              <v:path arrowok="t"/>
              <v:fill type="solid"/>
            </v:shape>
            <v:rect style="position:absolute;left:2897;top:8644;width:4718;height:23" filled="true" fillcolor="#dcdcdc" stroked="false">
              <v:fill type="solid"/>
            </v:rect>
            <v:line style="position:absolute" from="2909,8656" to="7604,8656" stroked="true" strokeweight="0pt" strokecolor="#dcdcdc">
              <v:stroke dashstyle="solid"/>
            </v:line>
            <v:rect style="position:absolute;left:7615;top:8644;width:3675;height:23" filled="true" fillcolor="#dcdcdc" stroked="false">
              <v:fill type="solid"/>
            </v:rect>
            <v:line style="position:absolute" from="7626,8656" to="11278,8656" stroked="true" strokeweight="0pt" strokecolor="#dcdcdc">
              <v:stroke dashstyle="solid"/>
            </v:line>
            <v:rect style="position:absolute;left:62;top:8667;width:11772;height:397" filled="true" fillcolor="#f4f4f4" stroked="false">
              <v:fill type="solid"/>
            </v:rect>
            <v:shape style="position:absolute;left:576;top:2185;width:10653;height:553" type="#_x0000_t202" filled="false" stroked="false">
              <v:textbox inset="0,0,0,0">
                <w:txbxContent>
                  <w:p>
                    <w:pPr>
                      <w:spacing w:before="2"/>
                      <w:ind w:left="0" w:right="18" w:firstLine="0"/>
                      <w:jc w:val="left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003C78"/>
                        <w:sz w:val="23"/>
                      </w:rPr>
                      <w:t>Beschlag für oben laufende Holz- oder Metallläden bis 140 kg, mit aufgeschraubter Laufschiene. Decken- oder Fenstersturzmontage.</w:t>
                    </w:r>
                  </w:p>
                </w:txbxContent>
              </v:textbox>
              <w10:wrap type="none"/>
            </v:shape>
            <v:shape style="position:absolute;left:572;top:3508;width:181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Produkt-Highlights</w:t>
                    </w:r>
                  </w:p>
                </w:txbxContent>
              </v:textbox>
              <w10:wrap type="none"/>
            </v:shape>
            <v:shape style="position:absolute;left:3464;top:3508;width:803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Ästhetik</w:t>
                    </w:r>
                  </w:p>
                </w:txbxContent>
              </v:textbox>
              <w10:wrap type="none"/>
            </v:shape>
            <v:shape style="position:absolute;left:4881;top:3502;width:5145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Attraktive Designlösung für eine spannende und moderne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Fassadengestaltung</w:t>
                    </w:r>
                  </w:p>
                </w:txbxContent>
              </v:textbox>
              <w10:wrap type="none"/>
            </v:shape>
            <v:shape style="position:absolute;left:3464;top:4256;width:980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Sicherheit</w:t>
                    </w:r>
                  </w:p>
                </w:txbxContent>
              </v:textbox>
              <w10:wrap type="none"/>
            </v:shape>
            <v:shape style="position:absolute;left:4881;top:4250;width:5580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Die Läden halten geöffnet wie geschlossen selbst stürmischen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Winden stand</w:t>
                    </w:r>
                  </w:p>
                </w:txbxContent>
              </v:textbox>
              <w10:wrap type="none"/>
            </v:shape>
            <v:shape style="position:absolute;left:572;top:5112;width:5024;height:2226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Technische</w:t>
                    </w:r>
                    <w:r>
                      <w:rPr>
                        <w:b/>
                        <w:spacing w:val="-5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Merkmale</w:t>
                      <w:tab/>
                    </w:r>
                    <w:r>
                      <w:rPr>
                        <w:position w:val="1"/>
                        <w:sz w:val="20"/>
                      </w:rPr>
                      <w:t>max. Gewicht pro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Laden</w:t>
                    </w:r>
                  </w:p>
                  <w:p>
                    <w:pPr>
                      <w:spacing w:line="261" w:lineRule="auto" w:before="10"/>
                      <w:ind w:left="2324" w:right="120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Ladendicke max.</w:t>
                    </w:r>
                    <w:r>
                      <w:rPr>
                        <w:spacing w:val="-2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Ladenhöhe</w:t>
                    </w:r>
                  </w:p>
                  <w:p>
                    <w:pPr>
                      <w:spacing w:before="12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Ladenbreite</w:t>
                    </w:r>
                  </w:p>
                  <w:p>
                    <w:pPr>
                      <w:spacing w:line="261" w:lineRule="auto" w:before="153"/>
                      <w:ind w:left="2324" w:right="-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Angriffsfläche pro Laden max. Anlagenbreite</w:t>
                    </w:r>
                  </w:p>
                  <w:p>
                    <w:pPr>
                      <w:spacing w:line="261" w:lineRule="auto" w:before="1"/>
                      <w:ind w:left="2324" w:right="40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max. Fläche Beschattung Höhenverstellbarkeit</w:t>
                    </w:r>
                  </w:p>
                </w:txbxContent>
              </v:textbox>
              <w10:wrap type="none"/>
            </v:shape>
            <v:shape style="position:absolute;left:7615;top:5112;width:2318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140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28–60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3200 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700–3750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(max. Ladenfläche 9.6 m²)</w:t>
                    </w:r>
                  </w:p>
                  <w:p>
                    <w:pPr>
                      <w:spacing w:line="261" w:lineRule="auto" w:before="22"/>
                      <w:ind w:left="0" w:right="132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 7500 mm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9.6 m²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+/- 2 mm</w:t>
                    </w:r>
                  </w:p>
                </w:txbxContent>
              </v:textbox>
              <w10:wrap type="none"/>
            </v:shape>
            <v:shape style="position:absolute;left:572;top:7703;width:1854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Anwendungsgebiet</w:t>
                    </w:r>
                  </w:p>
                </w:txbxContent>
              </v:textbox>
              <w10:wrap type="none"/>
            </v:shape>
            <v:shape style="position:absolute;left:2897;top:7692;width:3657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leicht / privat zugänglich</w:t>
                    </w:r>
                  </w:p>
                </w:txbxContent>
              </v:textbox>
              <w10:wrap type="none"/>
            </v:shape>
            <v:shape style="position:absolute;left:7615;top:7692;width:229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v:shape style="position:absolute;left:2897;top:7947;width:8412;height:710" type="#_x0000_t202" filled="false" stroked="false">
              <v:textbox inset="0,0,0,0">
                <w:txbxContent>
                  <w:p>
                    <w:pPr>
                      <w:tabs>
                        <w:tab w:pos="4717" w:val="left" w:leader="none"/>
                        <w:tab w:pos="8391" w:val="left" w:leader="none"/>
                      </w:tabs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  <w:u w:val="thick" w:color="DCDCDC"/>
                      </w:rPr>
                      <w:t>Beanspruchung mittel / halb</w:t>
                    </w:r>
                    <w:r>
                      <w:rPr>
                        <w:spacing w:val="-17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öffentlich</w:t>
                    </w:r>
                    <w:r>
                      <w:rPr>
                        <w:spacing w:val="-5"/>
                        <w:sz w:val="20"/>
                        <w:u w:val="thick" w:color="DCDCDC"/>
                      </w:rPr>
                      <w:t> </w:t>
                    </w:r>
                    <w:r>
                      <w:rPr>
                        <w:sz w:val="20"/>
                        <w:u w:val="thick" w:color="DCDCDC"/>
                      </w:rPr>
                      <w:t>zugänglich</w:t>
                      <w:tab/>
                      <w:t>Ja</w:t>
                      <w:tab/>
                    </w:r>
                  </w:p>
                  <w:p>
                    <w:pPr>
                      <w:tabs>
                        <w:tab w:pos="4717" w:val="left" w:leader="none"/>
                      </w:tabs>
                      <w:spacing w:line="261" w:lineRule="auto" w:before="22"/>
                      <w:ind w:left="0" w:right="348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Beanspruchung hoch 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öffentlich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zugänglich</w:t>
                      <w:tab/>
                    </w:r>
                    <w:r>
                      <w:rPr>
                        <w:spacing w:val="-13"/>
                        <w:sz w:val="20"/>
                      </w:rPr>
                      <w:t>Ja </w:t>
                    </w:r>
                    <w:r>
                      <w:rPr>
                        <w:sz w:val="20"/>
                      </w:rPr>
                      <w:t>Binnenland über 20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km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Küstenabstand</w:t>
                      <w:tab/>
                    </w:r>
                    <w:r>
                      <w:rPr>
                        <w:spacing w:val="-13"/>
                        <w:sz w:val="20"/>
                      </w:rPr>
                      <w:t>Ja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Garantie</w:t>
      </w:r>
    </w:p>
    <w:p>
      <w:pPr>
        <w:pStyle w:val="BodyText"/>
        <w:spacing w:before="100"/>
        <w:ind w:left="112" w:right="432"/>
      </w:pPr>
      <w:r>
        <w:rPr/>
        <w:br w:type="column"/>
      </w:r>
      <w:r>
        <w:rPr/>
        <w:t>Für die einwandfreie Funktion der von Hawa gelieferten Produkte und für die Haltbarkeit sämtlicher Teile mit Ausnahme von Verschleissteilen leistet Hawa Gewähr für die Dauer von 2 Jahren ab Gefahrenübergang.</w:t>
      </w:r>
    </w:p>
    <w:p>
      <w:pPr>
        <w:pStyle w:val="BodyText"/>
        <w:spacing w:before="2"/>
      </w:pPr>
    </w:p>
    <w:p>
      <w:pPr>
        <w:pStyle w:val="Heading1"/>
        <w:spacing w:line="238" w:lineRule="exact"/>
      </w:pPr>
      <w:r>
        <w:rPr/>
        <w:t>Verwendungsort</w:t>
      </w:r>
    </w:p>
    <w:p>
      <w:pPr>
        <w:pStyle w:val="BodyText"/>
        <w:ind w:left="112"/>
      </w:pPr>
      <w:r>
        <w:rPr/>
        <w:t>Aussenbereich mit ländlichen Binnenlandklima, ohne speziell hohe Belastung durch Umwelt- verschmutzung und min. 20 km vom Meer entfernt.</w:t>
      </w:r>
    </w:p>
    <w:p>
      <w:pPr>
        <w:spacing w:after="0"/>
        <w:sectPr>
          <w:type w:val="continuous"/>
          <w:pgSz w:w="11910" w:h="16840"/>
          <w:pgMar w:top="1700" w:bottom="1300" w:left="460" w:right="480"/>
          <w:cols w:num="2" w:equalWidth="0">
            <w:col w:w="965" w:space="1384"/>
            <w:col w:w="8621"/>
          </w:cols>
        </w:sectPr>
      </w:pPr>
    </w:p>
    <w:p>
      <w:pPr>
        <w:pStyle w:val="BodyText"/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2461" w:val="left" w:leader="none"/>
        </w:tabs>
        <w:ind w:left="2461" w:right="306" w:hanging="2349"/>
      </w:pPr>
      <w:r>
        <w:rPr>
          <w:b/>
          <w:position w:val="1"/>
        </w:rPr>
        <w:t>Produktausführung</w:t>
        <w:tab/>
      </w:r>
      <w:r>
        <w:rPr/>
        <w:t>Hawa Frontslide 140 A bestehend aus Laufschiene oben (Aluminium Wandstärke 3.5 mm), Laufwerk</w:t>
      </w:r>
      <w:r>
        <w:rPr>
          <w:spacing w:val="-8"/>
        </w:rPr>
        <w:t> </w:t>
      </w:r>
      <w:r>
        <w:rPr/>
        <w:t>mit</w:t>
      </w:r>
      <w:r>
        <w:rPr>
          <w:spacing w:val="-7"/>
        </w:rPr>
        <w:t> </w:t>
      </w:r>
      <w:r>
        <w:rPr/>
        <w:t>Kunststoffrollen</w:t>
      </w:r>
      <w:r>
        <w:rPr>
          <w:spacing w:val="-7"/>
        </w:rPr>
        <w:t> </w:t>
      </w:r>
      <w:r>
        <w:rPr/>
        <w:t>und</w:t>
      </w:r>
      <w:r>
        <w:rPr>
          <w:spacing w:val="-7"/>
        </w:rPr>
        <w:t> </w:t>
      </w:r>
      <w:r>
        <w:rPr/>
        <w:t>Aufhängebügel,</w:t>
      </w:r>
      <w:r>
        <w:rPr>
          <w:spacing w:val="-8"/>
        </w:rPr>
        <w:t> </w:t>
      </w:r>
      <w:r>
        <w:rPr/>
        <w:t>Führungsschiene</w:t>
      </w:r>
      <w:r>
        <w:rPr>
          <w:spacing w:val="-6"/>
        </w:rPr>
        <w:t> </w:t>
      </w:r>
      <w:r>
        <w:rPr/>
        <w:t>und</w:t>
      </w:r>
      <w:r>
        <w:rPr>
          <w:spacing w:val="-7"/>
        </w:rPr>
        <w:t> </w:t>
      </w:r>
      <w:r>
        <w:rPr/>
        <w:t>Führungsteil</w:t>
      </w:r>
      <w:r>
        <w:rPr>
          <w:spacing w:val="-8"/>
        </w:rPr>
        <w:t> </w:t>
      </w:r>
      <w:r>
        <w:rPr/>
        <w:t>unten, Schienenpuffer mit einstellbarer</w:t>
      </w:r>
      <w:r>
        <w:rPr>
          <w:spacing w:val="-3"/>
        </w:rPr>
        <w:t> </w:t>
      </w:r>
      <w:r>
        <w:rPr/>
        <w:t>Rückhalterung.</w:t>
      </w:r>
    </w:p>
    <w:p>
      <w:pPr>
        <w:pStyle w:val="BodyText"/>
        <w:spacing w:before="4"/>
      </w:pPr>
    </w:p>
    <w:p>
      <w:pPr>
        <w:pStyle w:val="BodyText"/>
        <w:ind w:left="2461"/>
      </w:pPr>
      <w:r>
        <w:rPr/>
        <w:t>Optional:</w:t>
      </w:r>
    </w:p>
    <w:p>
      <w:pPr>
        <w:pStyle w:val="BodyText"/>
        <w:spacing w:before="1"/>
        <w:ind w:left="2461"/>
      </w:pPr>
      <w:r>
        <w:rPr/>
        <w:t>(….) Clip-Blende</w:t>
      </w:r>
    </w:p>
    <w:p>
      <w:pPr>
        <w:pStyle w:val="BodyText"/>
        <w:spacing w:before="1"/>
        <w:ind w:left="2461" w:right="3739"/>
      </w:pPr>
      <w:r>
        <w:rPr/>
        <w:t>(….) Winkeltragprofil für Befestigung an der Wand (….) Befestigung unten an Wand oder Boden</w:t>
      </w:r>
    </w:p>
    <w:p>
      <w:pPr>
        <w:pStyle w:val="BodyText"/>
        <w:spacing w:before="2"/>
        <w:ind w:left="2461" w:right="5380"/>
      </w:pPr>
      <w:r>
        <w:rPr/>
        <w:t>(….) Schiebeladen - Verschluss (….) Schiebeladen - Feststeller</w:t>
      </w: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Heading1"/>
        <w:tabs>
          <w:tab w:pos="2461" w:val="left" w:leader="none"/>
        </w:tabs>
        <w:spacing w:before="1"/>
      </w:pPr>
      <w:r>
        <w:rPr>
          <w:position w:val="2"/>
        </w:rPr>
        <w:t>S</w:t>
      </w:r>
      <w:r>
        <w:rPr>
          <w:position w:val="1"/>
        </w:rPr>
        <w:t>chnittstellen</w:t>
        <w:tab/>
      </w:r>
      <w:r>
        <w:rPr/>
        <w:t>Türblatt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von oben geschraubt oder</w:t>
      </w:r>
      <w:r>
        <w:rPr>
          <w:spacing w:val="-4"/>
          <w:sz w:val="20"/>
        </w:rPr>
        <w:t> </w:t>
      </w:r>
      <w:r>
        <w:rPr>
          <w:sz w:val="20"/>
        </w:rPr>
        <w:t>genietet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Türdicke 28–50</w:t>
      </w:r>
      <w:r>
        <w:rPr>
          <w:spacing w:val="-2"/>
          <w:sz w:val="20"/>
        </w:rPr>
        <w:t> </w:t>
      </w:r>
      <w:r>
        <w:rPr>
          <w:sz w:val="20"/>
        </w:rPr>
        <w:t>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6"/>
        <w:jc w:val="left"/>
        <w:rPr>
          <w:sz w:val="20"/>
        </w:rPr>
      </w:pPr>
      <w:r>
        <w:rPr>
          <w:sz w:val="20"/>
        </w:rPr>
        <w:t>Führungsteil unten</w:t>
      </w:r>
      <w:r>
        <w:rPr>
          <w:spacing w:val="-4"/>
          <w:sz w:val="20"/>
        </w:rPr>
        <w:t> </w:t>
      </w:r>
      <w:r>
        <w:rPr>
          <w:sz w:val="20"/>
        </w:rPr>
        <w:t>aufgeschraubt</w:t>
      </w:r>
    </w:p>
    <w:sectPr>
      <w:pgSz w:w="11910" w:h="16840"/>
      <w:pgMar w:header="401" w:footer="1105" w:top="1700" w:bottom="1300" w:left="46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pt;margin-top:775.669922pt;width:265.05pt;height:35.25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 Sliding Solutions 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 Fischbachstrasse 4, 8932 Mettmenstetten, Schweiz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Tel. +41 44 787 17 17, </w:t>
                </w:r>
                <w:hyperlink r:id="rId1">
                  <w:r>
                    <w:rPr/>
                    <w:t>info@hawa.com, </w:t>
                  </w:r>
                </w:hyperlink>
                <w:hyperlink r:id="rId2">
                  <w:r>
                    <w:rPr/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6.79187pt;margin-top:797.215942pt;width:9.550pt;height:11.95pt;mso-position-horizontal-relative:page;mso-position-vertical-relative:page;z-index:-6856" type="#_x0000_t202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4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268428503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8527">
          <wp:simplePos x="0" y="0"/>
          <wp:positionH relativeFrom="page">
            <wp:posOffset>5458412</wp:posOffset>
          </wp:positionH>
          <wp:positionV relativeFrom="page">
            <wp:posOffset>827043</wp:posOffset>
          </wp:positionV>
          <wp:extent cx="1252986" cy="216015"/>
          <wp:effectExtent l="0" t="0" r="0" b="0"/>
          <wp:wrapNone/>
          <wp:docPr id="3" name="image2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52986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76306pt;margin-top:68.660194pt;width:32.950pt;height:13.95pt;mso-position-horizontal-relative:page;mso-position-vertical-relative:page;z-index:-6904" type="#_x0000_t202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140 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4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9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24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59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9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29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64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9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2023-01-04T13:14:44Z</dcterms:created>
  <dcterms:modified xsi:type="dcterms:W3CDTF">2023-01-04T13:14:44Z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2023-01-04T00:00:00Z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2023-01-04T00:00:00Z</vt:filetime>
  </property>
</Properties>
</file>