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0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4 symmetrisch öffnende Holz- oder Metallläden bis 40 kg.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29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Produktivität</w:t>
        <w:tab/>
      </w:r>
      <w:r>
        <w:rPr>
          <w:position w:val="1"/>
          <w:sz w:val="20"/>
        </w:rPr>
        <w:t>Steigerung der Energieeffizienz </w:t>
      </w:r>
      <w:r>
        <w:rPr>
          <w:spacing w:val="-3"/>
          <w:position w:val="1"/>
          <w:sz w:val="20"/>
        </w:rPr>
        <w:t>im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Gebäude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40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7000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40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6"/>
      </w:pPr>
      <w:r>
        <w:rPr/>
        <w:pict>
          <v:group style="position:absolute;margin-left:3.118575pt;margin-top:99.139702pt;width:589.15pt;height:371.95pt;mso-position-horizontal-relative:page;mso-position-vertical-relative:page;z-index:-5728" coordorigin="62,1983" coordsize="11783,7439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511" coordorigin="62,5935" coordsize="11783,511" path="m11845,5935l11289,5935,7615,5935,2897,5935,62,5935,62,6445,2897,6445,7615,6445,11289,6445,11845,6445,11845,5935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459" w:val="left" w:leader="none"/>
        </w:tabs>
        <w:spacing w:before="1"/>
        <w:ind w:left="2459" w:right="110" w:hanging="2347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Matic</w:t>
      </w:r>
      <w:r>
        <w:rPr>
          <w:spacing w:val="-4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2+2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1" w:lineRule="exact"/>
        <w:ind w:left="2459"/>
      </w:pPr>
      <w:r>
        <w:rPr/>
        <w:t>Optional:</w:t>
      </w:r>
    </w:p>
    <w:p>
      <w:pPr>
        <w:pStyle w:val="BodyText"/>
        <w:spacing w:line="231" w:lineRule="exact"/>
        <w:ind w:left="2461"/>
      </w:pPr>
      <w:r>
        <w:rPr/>
        <w:t>(….) Clip-Blende</w:t>
      </w:r>
    </w:p>
    <w:p>
      <w:pPr>
        <w:pStyle w:val="BodyText"/>
        <w:ind w:left="2461" w:right="3719"/>
      </w:pPr>
      <w:r>
        <w:rPr/>
        <w:t>(….) Winkeltragprofil für Befestigung an der Wand (….) Befestigung unten an Wand oder Boden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spacing w:before="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4133415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332397pt;margin-top:68.660194pt;width:131.65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2023-01-05T12:35:12Z</dcterms:created>
  <dcterms:modified xsi:type="dcterms:W3CDTF">2023-01-05T12:35:12Z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