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202"/>
        <w:ind w:left="112"/>
      </w:pPr>
      <w:r>
        <w:rPr>
          <w:b/>
          <w:position w:val="2"/>
        </w:rPr>
        <w:t>Durchgeführte</w:t>
      </w:r>
      <w:r>
        <w:rPr>
          <w:b/>
          <w:spacing w:val="-4"/>
          <w:position w:val="2"/>
        </w:rPr>
        <w:t> </w:t>
      </w:r>
      <w:r>
        <w:rPr>
          <w:b/>
          <w:position w:val="2"/>
        </w:rPr>
        <w:t>Tests</w:t>
        <w:tab/>
      </w:r>
      <w:r>
        <w:rPr/>
        <w:t>Schlösser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Beschläge</w:t>
      </w:r>
      <w:r>
        <w:rPr>
          <w:spacing w:val="-8"/>
        </w:rPr>
        <w:t> </w:t>
      </w:r>
      <w:r>
        <w:rPr/>
        <w:t>für</w:t>
      </w:r>
      <w:r>
        <w:rPr>
          <w:spacing w:val="-9"/>
        </w:rPr>
        <w:t> </w:t>
      </w:r>
      <w:r>
        <w:rPr/>
        <w:t>Schiebetüren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9"/>
        </w:rPr>
        <w:t> </w:t>
      </w:r>
      <w:r>
        <w:rPr/>
        <w:t>nach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2020</w:t>
      </w:r>
    </w:p>
    <w:p>
      <w:pPr>
        <w:pStyle w:val="BodyText"/>
        <w:spacing w:before="3"/>
        <w:ind w:left="2459"/>
      </w:pPr>
      <w:r>
        <w:rPr>
          <w:sz w:val="21"/>
        </w:rPr>
        <w:t>– </w:t>
      </w:r>
      <w:r>
        <w:rPr/>
        <w:t>Dauer der Funktionsfähigkeit: Klasse 6 (höchste Klasse = 100’000 Zyklen)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700" w:bottom="1300" w:left="460" w:right="480"/>
          <w:pgNumType w:start="1"/>
        </w:sectPr>
      </w:pPr>
    </w:p>
    <w:p>
      <w:pPr>
        <w:pStyle w:val="Heading1"/>
        <w:spacing w:before="88"/>
      </w:pPr>
      <w:r>
        <w:rPr/>
        <w:pict>
          <v:group style="position:absolute;margin-left:3.118575pt;margin-top:102.054565pt;width:589.15pt;height:393.8pt;mso-position-horizontal-relative:page;mso-position-vertical-relative:page;z-index:-7312" coordorigin="62,2041" coordsize="11783,7876">
            <v:shape style="position:absolute;left:62;top:2041;width:11766;height:1333" coordorigin="62,2041" coordsize="11766,1333" path="m11828,2041l11289,2041,62,2041,62,3373,11289,3373,11828,3373,11828,2041e" filled="true" fillcolor="#f4f4f4" stroked="false">
              <v:path arrowok="t"/>
              <v:fill type="solid"/>
            </v:shape>
            <v:line style="position:absolute" from="62,3388" to="573,3388" stroked="true" strokeweight="1.417425pt" strokecolor="#f4f4f4">
              <v:stroke dashstyle="solid"/>
            </v:line>
            <v:line style="position:absolute" from="573,3388" to="1253,3388" stroked="true" strokeweight="1.417425pt" strokecolor="#ff0000">
              <v:stroke dashstyle="solid"/>
            </v:line>
            <v:line style="position:absolute" from="1253,3388" to="11845,3388" stroked="true" strokeweight="1.417425pt" strokecolor="#f4f4f4">
              <v:stroke dashstyle="solid"/>
            </v:line>
            <v:shape style="position:absolute;left:62;top:3401;width:3403;height:749" coordorigin="62,3402" coordsize="3403,749" path="m3464,3402l2897,3402,62,3402,62,4150,2897,4150,3464,4150,3464,3402e" filled="true" fillcolor="#f4f4f4" stroked="false">
              <v:path arrowok="t"/>
              <v:fill type="solid"/>
            </v:shape>
            <v:shape style="position:absolute;left:2942;top:3458;width:420;height:454" type="#_x0000_t75" stroked="false">
              <v:imagedata r:id="rId7" o:title=""/>
            </v:shape>
            <v:shape style="position:absolute;left:62;top:3401;width:11766;height:1441" coordorigin="62,3402" coordsize="11766,1441" path="m3464,4150l2897,4150,62,4150,62,4842,2897,4842,3464,4842,3464,4150m11828,3402l11289,3402,4882,3402,3464,3402,3464,4150,4882,4150,11289,4150,11828,4150,11828,3402e" filled="true" fillcolor="#f4f4f4" stroked="false">
              <v:path arrowok="t"/>
              <v:fill type="solid"/>
            </v:shape>
            <v:shape style="position:absolute;left:2942;top:4206;width:420;height:454" type="#_x0000_t75" stroked="false">
              <v:imagedata r:id="rId8" o:title=""/>
            </v:shape>
            <v:shape style="position:absolute;left:62;top:4150;width:11783;height:1231" coordorigin="62,4150" coordsize="11783,1231" path="m11845,4842l11828,4842,11828,4150,11289,4150,4882,4150,3464,4150,3464,4842,2897,4842,62,4842,62,5381,2897,5381,7615,5381,11289,5381,11845,5381,11845,4842e" filled="true" fillcolor="#f4f4f4" stroked="false">
              <v:path arrowok="t"/>
              <v:fill type="solid"/>
            </v:shape>
            <v:rect style="position:absolute;left:2897;top:5357;width:4718;height:23" filled="true" fillcolor="#dcdcdc" stroked="false">
              <v:fill type="solid"/>
            </v:rect>
            <v:line style="position:absolute" from="2909,5369" to="7604,5369" stroked="true" strokeweight="0pt" strokecolor="#dcdcdc">
              <v:stroke dashstyle="solid"/>
            </v:line>
            <v:rect style="position:absolute;left:7615;top:5357;width:3675;height:23" filled="true" fillcolor="#dcdcdc" stroked="false">
              <v:fill type="solid"/>
            </v:rect>
            <v:line style="position:absolute" from="7626,5369" to="11278,5369" stroked="true" strokeweight="0pt" strokecolor="#dcdcdc">
              <v:stroke dashstyle="solid"/>
            </v:line>
            <v:shape style="position:absolute;left:62;top:5380;width:11783;height:256" coordorigin="62,5381" coordsize="11783,256" path="m11845,5381l11289,5381,7615,5381,2897,5381,62,5381,62,5636,2897,5636,7615,5636,11289,5636,11845,5636,11845,5381e" filled="true" fillcolor="#f4f4f4" stroked="false">
              <v:path arrowok="t"/>
              <v:fill type="solid"/>
            </v:shape>
            <v:rect style="position:absolute;left:2897;top:5613;width:4718;height:23" filled="true" fillcolor="#dcdcdc" stroked="false">
              <v:fill type="solid"/>
            </v:rect>
            <v:line style="position:absolute" from="2909,5624" to="7604,5624" stroked="true" strokeweight="0pt" strokecolor="#dcdcdc">
              <v:stroke dashstyle="solid"/>
            </v:line>
            <v:rect style="position:absolute;left:7615;top:5613;width:3675;height:23" filled="true" fillcolor="#dcdcdc" stroked="false">
              <v:fill type="solid"/>
            </v:rect>
            <v:line style="position:absolute" from="7626,5624" to="11278,5624" stroked="true" strokeweight="0pt" strokecolor="#dcdcdc">
              <v:stroke dashstyle="solid"/>
            </v:line>
            <v:shape style="position:absolute;left:62;top:5635;width:11783;height:256" coordorigin="62,5636" coordsize="11783,256" path="m11845,5636l11289,5636,7615,5636,2897,5636,62,5636,62,5891,2897,5891,7615,5891,11289,5891,11845,5891,11845,5636e" filled="true" fillcolor="#f4f4f4" stroked="false">
              <v:path arrowok="t"/>
              <v:fill type="solid"/>
            </v:shape>
            <v:rect style="position:absolute;left:2897;top:5868;width:4718;height:23" filled="true" fillcolor="#dcdcdc" stroked="false">
              <v:fill type="solid"/>
            </v:rect>
            <v:line style="position:absolute" from="2909,5879" to="7604,5879" stroked="true" strokeweight="0pt" strokecolor="#dcdcdc">
              <v:stroke dashstyle="solid"/>
            </v:line>
            <v:rect style="position:absolute;left:7615;top:5868;width:3675;height:23" filled="true" fillcolor="#dcdcdc" stroked="false">
              <v:fill type="solid"/>
            </v:rect>
            <v:line style="position:absolute" from="7626,5879" to="11278,5879" stroked="true" strokeweight="0pt" strokecolor="#dcdcdc">
              <v:stroke dashstyle="solid"/>
            </v:line>
            <v:shape style="position:absolute;left:62;top:5890;width:11783;height:256" coordorigin="62,5891" coordsize="11783,256" path="m11845,5891l11289,5891,7615,5891,2897,5891,62,5891,62,6146,2897,6146,7615,6146,11289,6146,11845,6146,11845,5891e" filled="true" fillcolor="#f4f4f4" stroked="false">
              <v:path arrowok="t"/>
              <v:fill type="solid"/>
            </v:shape>
            <v:rect style="position:absolute;left:2897;top:6123;width:4718;height:23" filled="true" fillcolor="#dcdcdc" stroked="false">
              <v:fill type="solid"/>
            </v:rect>
            <v:line style="position:absolute" from="2909,6135" to="7604,6135" stroked="true" strokeweight="0pt" strokecolor="#dcdcdc">
              <v:stroke dashstyle="solid"/>
            </v:line>
            <v:rect style="position:absolute;left:7615;top:6123;width:3675;height:23" filled="true" fillcolor="#dcdcdc" stroked="false">
              <v:fill type="solid"/>
            </v:rect>
            <v:line style="position:absolute" from="7626,6135" to="11278,6135" stroked="true" strokeweight="0pt" strokecolor="#dcdcdc">
              <v:stroke dashstyle="solid"/>
            </v:line>
            <v:shape style="position:absolute;left:62;top:6145;width:11783;height:256" coordorigin="62,6146" coordsize="11783,256" path="m11845,6146l11289,6146,7615,6146,2897,6146,62,6146,62,6401,2897,6401,7615,6401,11289,6401,11845,6401,11845,6146e" filled="true" fillcolor="#f4f4f4" stroked="false">
              <v:path arrowok="t"/>
              <v:fill type="solid"/>
            </v:shape>
            <v:rect style="position:absolute;left:2897;top:6378;width:4718;height:23" filled="true" fillcolor="#dcdcdc" stroked="false">
              <v:fill type="solid"/>
            </v:rect>
            <v:line style="position:absolute" from="2909,6390" to="7604,6390" stroked="true" strokeweight="0pt" strokecolor="#dcdcdc">
              <v:stroke dashstyle="solid"/>
            </v:line>
            <v:rect style="position:absolute;left:7615;top:6378;width:3675;height:23" filled="true" fillcolor="#dcdcdc" stroked="false">
              <v:fill type="solid"/>
            </v:rect>
            <v:line style="position:absolute" from="7626,6390" to="11278,6390" stroked="true" strokeweight="0pt" strokecolor="#dcdcdc">
              <v:stroke dashstyle="solid"/>
            </v:line>
            <v:shape style="position:absolute;left:62;top:6401;width:11783;height:256" coordorigin="62,6401" coordsize="11783,256" path="m11845,6401l11289,6401,7615,6401,2897,6401,62,6401,62,6656,2897,6656,7615,6656,11289,6656,11845,6656,11845,6401e" filled="true" fillcolor="#f4f4f4" stroked="false">
              <v:path arrowok="t"/>
              <v:fill type="solid"/>
            </v:shape>
            <v:rect style="position:absolute;left:2897;top:6633;width:4718;height:23" filled="true" fillcolor="#dcdcdc" stroked="false">
              <v:fill type="solid"/>
            </v:rect>
            <v:line style="position:absolute" from="2909,6645" to="7604,6645" stroked="true" strokeweight="0pt" strokecolor="#dcdcdc">
              <v:stroke dashstyle="solid"/>
            </v:line>
            <v:rect style="position:absolute;left:7615;top:6633;width:3675;height:23" filled="true" fillcolor="#dcdcdc" stroked="false">
              <v:fill type="solid"/>
            </v:rect>
            <v:line style="position:absolute" from="7626,6645" to="11278,6645" stroked="true" strokeweight="0pt" strokecolor="#dcdcdc">
              <v:stroke dashstyle="solid"/>
            </v:line>
            <v:shape style="position:absolute;left:62;top:6656;width:11783;height:256" coordorigin="62,6656" coordsize="11783,256" path="m11845,6656l11289,6656,7615,6656,2897,6656,62,6656,62,6911,2897,6911,7615,6911,11289,6911,11845,6911,11845,6656e" filled="true" fillcolor="#f4f4f4" stroked="false">
              <v:path arrowok="t"/>
              <v:fill type="solid"/>
            </v:shape>
            <v:rect style="position:absolute;left:2897;top:6888;width:4718;height:23" filled="true" fillcolor="#dcdcdc" stroked="false">
              <v:fill type="solid"/>
            </v:rect>
            <v:line style="position:absolute" from="2909,6900" to="7604,6900" stroked="true" strokeweight="0pt" strokecolor="#dcdcdc">
              <v:stroke dashstyle="solid"/>
            </v:line>
            <v:rect style="position:absolute;left:7615;top:6888;width:3675;height:23" filled="true" fillcolor="#dcdcdc" stroked="false">
              <v:fill type="solid"/>
            </v:rect>
            <v:line style="position:absolute" from="7626,6900" to="11278,6900" stroked="true" strokeweight="0pt" strokecolor="#dcdcdc">
              <v:stroke dashstyle="solid"/>
            </v:line>
            <v:shape style="position:absolute;left:62;top:6911;width:11783;height:256" coordorigin="62,6911" coordsize="11783,256" path="m11845,6911l11289,6911,7615,6911,2897,6911,62,6911,62,7166,2897,7166,7615,7166,11289,7166,11845,7166,11845,6911e" filled="true" fillcolor="#f4f4f4" stroked="false">
              <v:path arrowok="t"/>
              <v:fill type="solid"/>
            </v:shape>
            <v:rect style="position:absolute;left:2897;top:7143;width:4718;height:23" filled="true" fillcolor="#dcdcdc" stroked="false">
              <v:fill type="solid"/>
            </v:rect>
            <v:line style="position:absolute" from="2909,7155" to="7604,7155" stroked="true" strokeweight="0pt" strokecolor="#dcdcdc">
              <v:stroke dashstyle="solid"/>
            </v:line>
            <v:rect style="position:absolute;left:7615;top:7143;width:3675;height:23" filled="true" fillcolor="#dcdcdc" stroked="false">
              <v:fill type="solid"/>
            </v:rect>
            <v:line style="position:absolute" from="7626,7155" to="11278,7155" stroked="true" strokeweight="0pt" strokecolor="#dcdcdc">
              <v:stroke dashstyle="solid"/>
            </v:line>
            <v:shape style="position:absolute;left:62;top:7166;width:11783;height:256" coordorigin="62,7166" coordsize="11783,256" path="m11845,7166l11289,7166,7615,7166,2897,7166,62,7166,62,7422,2897,7422,7615,7422,11289,7422,11845,7422,11845,7166e" filled="true" fillcolor="#f4f4f4" stroked="false">
              <v:path arrowok="t"/>
              <v:fill type="solid"/>
            </v:shape>
            <v:rect style="position:absolute;left:2897;top:7398;width:4718;height:23" filled="true" fillcolor="#dcdcdc" stroked="false">
              <v:fill type="solid"/>
            </v:rect>
            <v:line style="position:absolute" from="2909,7410" to="7604,7410" stroked="true" strokeweight="0pt" strokecolor="#dcdcdc">
              <v:stroke dashstyle="solid"/>
            </v:line>
            <v:rect style="position:absolute;left:7615;top:7398;width:3675;height:23" filled="true" fillcolor="#dcdcdc" stroked="false">
              <v:fill type="solid"/>
            </v:rect>
            <v:line style="position:absolute" from="7626,7410" to="11278,7410" stroked="true" strokeweight="0pt" strokecolor="#dcdcdc">
              <v:stroke dashstyle="solid"/>
            </v:line>
            <v:shape style="position:absolute;left:62;top:7421;width:11783;height:539" coordorigin="62,7422" coordsize="11783,539" path="m11845,7422l11289,7422,7615,7422,2897,7422,62,7422,62,7960,2897,7960,7615,7960,11289,7960,11845,7960,11845,7422e" filled="true" fillcolor="#f4f4f4" stroked="false">
              <v:path arrowok="t"/>
              <v:fill type="solid"/>
            </v:shape>
            <v:rect style="position:absolute;left:2897;top:7937;width:4718;height:23" filled="true" fillcolor="#dcdcdc" stroked="false">
              <v:fill type="solid"/>
            </v:rect>
            <v:line style="position:absolute" from="2909,7949" to="7604,7949" stroked="true" strokeweight="0pt" strokecolor="#dcdcdc">
              <v:stroke dashstyle="solid"/>
            </v:line>
            <v:rect style="position:absolute;left:7615;top:7937;width:3675;height:23" filled="true" fillcolor="#dcdcdc" stroked="false">
              <v:fill type="solid"/>
            </v:rect>
            <v:line style="position:absolute" from="7626,7949" to="11278,7949" stroked="true" strokeweight="0pt" strokecolor="#dcdcdc">
              <v:stroke dashstyle="solid"/>
            </v:line>
            <v:shape style="position:absolute;left:62;top:7960;width:11783;height:256" coordorigin="62,7960" coordsize="11783,256" path="m11845,7960l11289,7960,7615,7960,2897,7960,62,7960,62,8215,2897,8215,7615,8215,11289,8215,11845,8215,11845,7960e" filled="true" fillcolor="#f4f4f4" stroked="false">
              <v:path arrowok="t"/>
              <v:fill type="solid"/>
            </v:shape>
            <v:rect style="position:absolute;left:2897;top:8192;width:4718;height:23" filled="true" fillcolor="#dcdcdc" stroked="false">
              <v:fill type="solid"/>
            </v:rect>
            <v:line style="position:absolute" from="2909,8204" to="7604,8204" stroked="true" strokeweight="0pt" strokecolor="#dcdcdc">
              <v:stroke dashstyle="solid"/>
            </v:line>
            <v:rect style="position:absolute;left:7615;top:8192;width:3675;height:23" filled="true" fillcolor="#dcdcdc" stroked="false">
              <v:fill type="solid"/>
            </v:rect>
            <v:line style="position:absolute" from="7626,8204" to="11278,8204" stroked="true" strokeweight="0pt" strokecolor="#dcdcdc">
              <v:stroke dashstyle="solid"/>
            </v:line>
            <v:shape style="position:absolute;left:62;top:8215;width:11783;height:256" coordorigin="62,8215" coordsize="11783,256" path="m11845,8215l11289,8215,7615,8215,2897,8215,62,8215,62,8471,2897,8471,7615,8471,11289,8471,11845,8471,11845,8215e" filled="true" fillcolor="#f4f4f4" stroked="false">
              <v:path arrowok="t"/>
              <v:fill type="solid"/>
            </v:shape>
            <v:rect style="position:absolute;left:2897;top:8447;width:4718;height:23" filled="true" fillcolor="#dcdcdc" stroked="false">
              <v:fill type="solid"/>
            </v:rect>
            <v:line style="position:absolute" from="2909,8459" to="7604,8459" stroked="true" strokeweight="0pt" strokecolor="#dcdcdc">
              <v:stroke dashstyle="solid"/>
            </v:line>
            <v:rect style="position:absolute;left:7615;top:8447;width:3675;height:23" filled="true" fillcolor="#dcdcdc" stroked="false">
              <v:fill type="solid"/>
            </v:rect>
            <v:line style="position:absolute" from="7626,8459" to="11278,8459" stroked="true" strokeweight="0pt" strokecolor="#dcdcdc">
              <v:stroke dashstyle="solid"/>
            </v:line>
            <v:shape style="position:absolute;left:62;top:8470;width:11783;height:794" coordorigin="62,8471" coordsize="11783,794" path="m11845,8471l11289,8471,7615,8471,2897,8471,62,8471,62,9009,62,9264,2897,9264,7615,9264,11289,9264,11845,9264,11845,9009,11845,8471e" filled="true" fillcolor="#f4f4f4" stroked="false">
              <v:path arrowok="t"/>
              <v:fill type="solid"/>
            </v:shape>
            <v:line style="position:absolute" from="7626,9253" to="11278,9253" stroked="true" strokeweight="0pt" strokecolor="#dcdcdc">
              <v:stroke dashstyle="solid"/>
            </v:line>
            <v:shape style="position:absolute;left:62;top:9264;width:11783;height:256" coordorigin="62,9264" coordsize="11783,256" path="m11845,9264l11289,9264,7615,9264,2897,9264,62,9264,62,9519,2897,9519,7615,9519,11289,9519,11845,9519,11845,9264e" filled="true" fillcolor="#f4f4f4" stroked="false">
              <v:path arrowok="t"/>
              <v:fill type="solid"/>
            </v:shape>
            <v:rect style="position:absolute;left:2897;top:9496;width:4718;height:23" filled="true" fillcolor="#dcdcdc" stroked="false">
              <v:fill type="solid"/>
            </v:rect>
            <v:line style="position:absolute" from="2909,9508" to="7604,9508" stroked="true" strokeweight="0pt" strokecolor="#dcdcdc">
              <v:stroke dashstyle="solid"/>
            </v:line>
            <v:rect style="position:absolute;left:7615;top:9496;width:3675;height:23" filled="true" fillcolor="#dcdcdc" stroked="false">
              <v:fill type="solid"/>
            </v:rect>
            <v:line style="position:absolute" from="7626,9508" to="11278,9508" stroked="true" strokeweight="0pt" strokecolor="#dcdcdc">
              <v:stroke dashstyle="solid"/>
            </v:line>
            <v:rect style="position:absolute;left:62;top:9519;width:11772;height:397" filled="true" fillcolor="#f4f4f4" stroked="false">
              <v:fill type="solid"/>
            </v:rect>
            <v:shape style="position:absolute;left:572;top:2301;width:99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Schalldämmung. Deckenmontage. Wandtaschenlösung.</w:t>
                    </w:r>
                  </w:p>
                </w:txbxContent>
              </v:textbox>
              <w10:wrap type="none"/>
            </v:shape>
            <v:shape style="position:absolute;left:572;top:3566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6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60;width:605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 dank wirksamer Dämmung von Schall, Zugluft,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 und unerwünschtem Lichteinfall</w:t>
                    </w:r>
                  </w:p>
                </w:txbxContent>
              </v:textbox>
              <w10:wrap type="none"/>
            </v:shape>
            <v:shape style="position:absolute;left:3464;top:4309;width:7373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Einfache Höhenjustierung über beide Aufhängungen und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bequeme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Tiefenjustierung in der Wandtasche an fertig montierter Tür</w:t>
                    </w:r>
                  </w:p>
                </w:txbxContent>
              </v:textbox>
              <w10:wrap type="none"/>
            </v:shape>
            <v:shape style="position:absolute;left:572;top:5170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 Türhöhe Türbreite</w:t>
                    </w:r>
                  </w:p>
                  <w:p>
                    <w:pPr>
                      <w:spacing w:line="261" w:lineRule="auto" w:before="2"/>
                      <w:ind w:left="2324" w:right="117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70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800–1300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750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750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810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799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799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054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line="247" w:lineRule="auto" w:before="105"/>
        <w:ind w:left="112" w:right="251"/>
      </w:pPr>
      <w:r>
        <w:rPr/>
        <w:br w:type="column"/>
      </w:r>
      <w:r>
        <w:rPr>
          <w:w w:val="105"/>
        </w:rPr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12"/>
      </w:pPr>
      <w:r>
        <w:rPr/>
        <w:t>Hawa Junior 100 B Pocket Acoustics bestehend aus Laufschiene (Aluminium Wandstärke</w:t>
      </w:r>
    </w:p>
    <w:p>
      <w:pPr>
        <w:pStyle w:val="BodyText"/>
        <w:spacing w:line="247" w:lineRule="auto" w:before="7"/>
        <w:ind w:left="112" w:right="251"/>
      </w:pPr>
      <w:r>
        <w:rPr/>
        <w:t>2.9 mm), Laufwerk mit Kugellagerrollen (200’000 Zyklen getestet), SoftStop, Tragprofil mit Aufhängeschlitten, horizontales Dichtungs-Set, Dichtung vertikal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7" w:lineRule="exact"/>
        <w:ind w:left="112"/>
      </w:pPr>
      <w:r>
        <w:rPr/>
        <w:t>Optional:</w:t>
      </w:r>
    </w:p>
    <w:p>
      <w:pPr>
        <w:pStyle w:val="BodyText"/>
        <w:tabs>
          <w:tab w:pos="443" w:val="left" w:leader="dot"/>
        </w:tabs>
        <w:spacing w:line="208" w:lineRule="exact"/>
        <w:ind w:left="114"/>
      </w:pPr>
      <w:r>
        <w:rPr/>
        <w:t>(.</w:t>
        <w:tab/>
        <w:t>) Set für montier- und demontierbare</w:t>
      </w:r>
      <w:r>
        <w:rPr>
          <w:spacing w:val="-7"/>
        </w:rPr>
        <w:t> </w:t>
      </w:r>
      <w:r>
        <w:rPr/>
        <w:t>Laufschiene</w:t>
      </w:r>
    </w:p>
    <w:p>
      <w:pPr>
        <w:pStyle w:val="BodyText"/>
        <w:tabs>
          <w:tab w:pos="443" w:val="left" w:leader="dot"/>
        </w:tabs>
        <w:spacing w:line="214" w:lineRule="exact"/>
        <w:ind w:left="114"/>
      </w:pPr>
      <w:r>
        <w:rPr/>
        <w:t>(.</w:t>
        <w:tab/>
        <w:t>) Laufschienenbefestigung für demontierbare</w:t>
      </w:r>
      <w:r>
        <w:rPr>
          <w:spacing w:val="-5"/>
        </w:rPr>
        <w:t> </w:t>
      </w:r>
      <w:r>
        <w:rPr/>
        <w:t>Laufschiene</w:t>
      </w:r>
    </w:p>
    <w:p>
      <w:pPr>
        <w:pStyle w:val="BodyText"/>
        <w:tabs>
          <w:tab w:pos="441" w:val="left" w:leader="dot"/>
        </w:tabs>
        <w:spacing w:before="1"/>
        <w:ind w:left="114"/>
      </w:pPr>
      <w:r>
        <w:rPr/>
        <w:t>(</w:t>
        <w:tab/>
        <w:t>)</w:t>
      </w:r>
      <w:r>
        <w:rPr>
          <w:spacing w:val="-3"/>
        </w:rPr>
        <w:t> </w:t>
      </w:r>
      <w:r>
        <w:rPr/>
        <w:t>Federpuffer</w:t>
      </w:r>
    </w:p>
    <w:p>
      <w:pPr>
        <w:spacing w:after="0"/>
        <w:sectPr>
          <w:type w:val="continuous"/>
          <w:pgSz w:w="11900" w:h="16840"/>
          <w:pgMar w:top="1700" w:bottom="1300" w:left="460" w:right="480"/>
          <w:cols w:num="2" w:equalWidth="0">
            <w:col w:w="1987" w:space="360"/>
            <w:col w:w="8613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tabs>
          <w:tab w:pos="2461" w:val="left" w:leader="none"/>
        </w:tabs>
        <w:spacing w:before="92"/>
      </w:pPr>
      <w:r>
        <w:rPr>
          <w:rFonts w:ascii="Arial" w:hAnsi="Arial"/>
        </w:rPr>
        <w:t>Schnittstellen</w:t>
        <w:tab/>
      </w:r>
      <w:r>
        <w:rPr>
          <w:position w:val="-1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3" w:after="0"/>
        <w:ind w:left="2627" w:right="0" w:hanging="166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oben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Geschraubte Befestigung der Tragprofile und horizontalen</w:t>
      </w:r>
      <w:r>
        <w:rPr>
          <w:spacing w:val="-7"/>
          <w:sz w:val="20"/>
        </w:rPr>
        <w:t> </w:t>
      </w:r>
      <w:r>
        <w:rPr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Nut für Dichtung vertikal 4 x 4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Dichtungsebene 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2524" w:hanging="166"/>
        <w:jc w:val="left"/>
        <w:rPr>
          <w:sz w:val="20"/>
        </w:rPr>
      </w:pPr>
      <w:r>
        <w:rPr>
          <w:sz w:val="20"/>
        </w:rPr>
        <w:t>Auflauffläche für vertikale Dichtung muss bauseitig gelöst</w:t>
      </w:r>
      <w:r>
        <w:rPr>
          <w:spacing w:val="-24"/>
          <w:sz w:val="20"/>
        </w:rPr>
        <w:t> </w:t>
      </w:r>
      <w:r>
        <w:rPr>
          <w:sz w:val="20"/>
        </w:rPr>
        <w:t>werden (min. 6 mm Vorsatz zur</w:t>
      </w:r>
      <w:r>
        <w:rPr>
          <w:spacing w:val="-7"/>
          <w:sz w:val="20"/>
        </w:rPr>
        <w:t> </w:t>
      </w:r>
      <w:r>
        <w:rPr>
          <w:sz w:val="20"/>
        </w:rPr>
        <w:t>Wandkonstruktion)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461"/>
      </w:pPr>
      <w:r>
        <w:rPr/>
        <w:t>Spaltmass zum</w:t>
      </w:r>
      <w:r>
        <w:rPr>
          <w:spacing w:val="-9"/>
        </w:rPr>
        <w:t> </w:t>
      </w:r>
      <w:r>
        <w:rPr/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6"/>
        <w:jc w:val="left"/>
        <w:rPr>
          <w:sz w:val="20"/>
        </w:rPr>
      </w:pPr>
      <w:r>
        <w:rPr>
          <w:sz w:val="20"/>
        </w:rPr>
        <w:t>Bodenluft von 8–12 mm können von der Dichtung aufgenommen</w:t>
      </w:r>
      <w:r>
        <w:rPr>
          <w:spacing w:val="-29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6"/>
      </w:pPr>
    </w:p>
    <w:p>
      <w:pPr>
        <w:pStyle w:val="Heading1"/>
        <w:ind w:left="2461"/>
      </w:pPr>
      <w:r>
        <w:rPr/>
        <w:t>Taschenkonstruktion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Die Taschenkonstruktion muss bauseitig gelöst</w:t>
      </w:r>
      <w:r>
        <w:rPr>
          <w:spacing w:val="-7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2459"/>
        <w:rPr>
          <w:rFonts w:ascii="Arial"/>
        </w:rPr>
      </w:pPr>
      <w:r>
        <w:rPr>
          <w:rFonts w:ascii="Arial"/>
        </w:rPr>
        <w:t>Montageset</w:t>
      </w:r>
    </w:p>
    <w:p>
      <w:pPr>
        <w:pStyle w:val="BodyText"/>
        <w:spacing w:before="8"/>
        <w:ind w:left="2459"/>
        <w:rPr>
          <w:rFonts w:ascii="Arial" w:hAnsi="Arial"/>
        </w:rPr>
      </w:pPr>
      <w:r>
        <w:rPr>
          <w:rFonts w:ascii="Arial" w:hAnsi="Arial"/>
        </w:rPr>
        <w:t>– Das Aufnahmeprofil wird während dem Erstellen der Taschenkonstruktion montiert</w:t>
      </w:r>
    </w:p>
    <w:sectPr>
      <w:pgSz w:w="11900" w:h="16840"/>
      <w:pgMar w:header="403" w:footer="1110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65.05pt;height:34.6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75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3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55">
          <wp:simplePos x="0" y="0"/>
          <wp:positionH relativeFrom="page">
            <wp:posOffset>4432260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213806pt;margin-top:68.740211pt;width:129.3pt;height:13.95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B Pocket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6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2022-02-17T12:20:12Z</dcterms:created>
  <dcterms:modified xsi:type="dcterms:W3CDTF">2022-02-17T12:20:12Z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2022-02-17T00:00:00Z</vt:filetime>
  </property>
</Properties>
</file>