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15728640" id="docshapegroup4" coordorigin="62,1983" coordsize="11783,7212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7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511" id="docshape14" coordorigin="62,4914" coordsize="11783,511" path="m11845,4914l11289,4914,7615,4914,2897,4914,62,4914,62,5424,2897,5424,7615,5424,11289,5424,11845,5424,11845,4914xe" filled="true" fillcolor="#f4f4f4" stroked="false">
              <v:path arrowok="t"/>
              <v:fill type="solid"/>
            </v:shape>
            <v:rect style="position:absolute;left:2897;top:5401;width:4718;height:23" id="docshape15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6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17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18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19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0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1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2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3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4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5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6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27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28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29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0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1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id="docshape32" coordorigin="62,6700" coordsize="11783,256" path="m11845,6700l11289,6700,7615,6700,2897,6700,62,6700,62,6955,2897,6955,7615,6955,11289,6955,11845,6955,11845,6700xe" filled="true" fillcolor="#f4f4f4" stroked="false">
              <v:path arrowok="t"/>
              <v:fill type="solid"/>
            </v:shape>
            <v:rect style="position:absolute;left:2897;top:6932;width:4718;height:23" id="docshape3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id="docshape34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id="docshape35" coordorigin="62,6955" coordsize="11783,539" path="m11845,6955l11289,6955,7615,6955,2897,6955,62,6955,62,7494,2897,7494,7615,7494,11289,7494,11845,7494,11845,6955xe" filled="true" fillcolor="#f4f4f4" stroked="false">
              <v:path arrowok="t"/>
              <v:fill type="solid"/>
            </v:shape>
            <v:rect style="position:absolute;left:2897;top:7471;width:4718;height:23" id="docshape36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37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id="docshape38" coordorigin="62,7494" coordsize="11783,256" path="m11845,7494l11289,7494,7615,7494,2897,7494,62,7494,62,7749,2897,7749,7615,7749,11289,7749,11845,7749,11845,7494xe" filled="true" fillcolor="#f4f4f4" stroked="false">
              <v:path arrowok="t"/>
              <v:fill type="solid"/>
            </v:shape>
            <v:rect style="position:absolute;left:2897;top:7726;width:4718;height:23" id="docshape39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id="docshape40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id="docshape41" coordorigin="62,7749" coordsize="11783,539" path="m11845,7749l11289,7749,7615,7749,2897,7749,62,7749,62,8287,2897,8287,7615,8287,11289,8287,11845,8287,11845,7749xe" filled="true" fillcolor="#f4f4f4" stroked="false">
              <v:path arrowok="t"/>
              <v:fill type="solid"/>
            </v:shape>
            <v:rect style="position:absolute;left:2897;top:8264;width:4718;height:23" id="docshape42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id="docshape44" coordorigin="62,8287" coordsize="11783,256" path="m11845,8287l11289,8287,7615,8287,2897,8287,62,8287,62,8543,2897,8543,7615,8543,11289,8543,11845,8543,11845,8287xe" filled="true" fillcolor="#f4f4f4" stroked="false">
              <v:path arrowok="t"/>
              <v:fill type="solid"/>
            </v:shape>
            <v:rect style="position:absolute;left:2897;top:8519;width:4718;height:23" id="docshape45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6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id="docshape47" coordorigin="62,8543" coordsize="11783,256" path="m11845,8543l11289,8543,7615,8543,2897,8543,62,8543,62,8798,2897,8798,7615,8798,11289,8798,11845,8798,11845,8543xe" filled="true" fillcolor="#f4f4f4" stroked="false">
              <v:path arrowok="t"/>
              <v:fill type="solid"/>
            </v:shape>
            <v:rect style="position:absolute;left:2897;top:8775;width:4718;height:23" id="docshape48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id="docshape49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id="docshape50" filled="true" fillcolor="#f4f4f4" stroked="false">
              <v:fill type="solid"/>
            </v:rect>
            <v:shape style="position:absolute;left:572;top:2243;width:10498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télescopique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roulement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650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 de porte possibles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jusqu’à une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3000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3464;top:4029;width:9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023;width:3949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télescopique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guidage</w:t>
                    </w:r>
                  </w:p>
                </w:txbxContent>
              </v:textbox>
              <w10:wrap type="none"/>
            </v:shape>
            <v:shape style="position:absolute;left:572;top:4704;width:4612;height:2240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Consignes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 la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before="138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porte</w:t>
                    </w:r>
                  </w:p>
                  <w:p>
                    <w:pPr>
                      <w:spacing w:line="266" w:lineRule="auto" w:before="15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Largeur de porte</w:t>
                    </w:r>
                  </w:p>
                  <w:p>
                    <w:pPr>
                      <w:spacing w:line="266" w:lineRule="auto" w:before="0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704;width:3529;height:2240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line="266" w:lineRule="auto"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mm&lt;br&gt;(Verre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trempé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sécurité </w:t>
                    </w:r>
                    <w:r>
                      <w:rPr>
                        <w:spacing w:val="-2"/>
                        <w:sz w:val="20"/>
                      </w:rPr>
                      <w:t>(ESG))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500–1000</w:t>
                    </w:r>
                    <w:r>
                      <w:rPr>
                        <w:spacing w:val="-5"/>
                        <w:sz w:val="20"/>
                      </w:rPr>
                      <w:t> 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1"/>
                      <w:ind w:left="0" w:right="26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295;width:1886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Version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du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84;width:1818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84;width:325;height:454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077;width:5928;height:709" type="#_x0000_t202" id="docshape6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25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1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1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6" w:lineRule="auto"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077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tabs>
          <w:tab w:pos="2461" w:val="left" w:leader="none"/>
        </w:tabs>
        <w:spacing w:line="252" w:lineRule="auto" w:before="51"/>
        <w:ind w:left="2461" w:right="75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 et ferrures de bâtiment – Ferrures pour portes coulissantes et pliantes selon EN 1527 / 2013</w:t>
      </w: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rPr>
          <w:sz w:val="21"/>
        </w:rPr>
      </w:pPr>
    </w:p>
    <w:p>
      <w:pPr>
        <w:spacing w:line="252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 de meuble – Résistance et solidité des ferrures pour portes coulissantes et volets roulants selon EN 15706 / 2009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2461" w:val="left" w:leader="none"/>
        </w:tabs>
        <w:spacing w:line="247" w:lineRule="auto"/>
        <w:ind w:left="2461" w:right="5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spacing w:after="0" w:line="247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197" w:hanging="2349"/>
      </w:pPr>
      <w:r>
        <w:rPr>
          <w:b/>
          <w:position w:val="1"/>
        </w:rPr>
        <w:t>Version du produit</w:t>
        <w:tab/>
      </w:r>
      <w:r>
        <w:rPr/>
        <w:t>Hawa Junior 80 G Telescopic composé d'un rail de roulement (épaisseur de la paroi en aluminium 2,9 mm), chariots à palier, butée, courroie dentée avec galets de déviation, profil porteur et sabot, guidage au sol sans jeu, profils porteurs et porte-verres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En</w:t>
      </w:r>
      <w:r>
        <w:rPr>
          <w:spacing w:val="-2"/>
        </w:rPr>
        <w:t> </w:t>
      </w:r>
      <w:r>
        <w:rPr/>
        <w:t>option</w:t>
      </w:r>
      <w:r>
        <w:rPr>
          <w:spacing w:val="-1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Rail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rails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vitrage</w:t>
      </w:r>
      <w:r>
        <w:rPr>
          <w:spacing w:val="-3"/>
        </w:rPr>
        <w:t> </w:t>
      </w:r>
      <w:r>
        <w:rPr>
          <w:spacing w:val="-4"/>
        </w:rPr>
        <w:t>fixe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pièce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centrage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30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>
          <w:spacing w:val="-2"/>
        </w:rPr>
        <w:t>Panneau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4" w:after="0"/>
        <w:ind w:left="2593" w:right="0" w:hanging="133"/>
        <w:jc w:val="left"/>
        <w:rPr>
          <w:sz w:val="20"/>
        </w:rPr>
      </w:pPr>
      <w:r>
        <w:rPr>
          <w:sz w:val="20"/>
        </w:rPr>
        <w:t>Usinage du verre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supports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verre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4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2"/>
          <w:sz w:val="20"/>
        </w:rPr>
        <w:t> </w:t>
      </w:r>
      <w:r>
        <w:rPr>
          <w:sz w:val="20"/>
        </w:rPr>
        <w:t>paroi en</w:t>
      </w:r>
      <w:r>
        <w:rPr>
          <w:spacing w:val="1"/>
          <w:sz w:val="20"/>
        </w:rPr>
        <w:t> </w:t>
      </w:r>
      <w:r>
        <w:rPr>
          <w:sz w:val="20"/>
        </w:rPr>
        <w:t>verre</w:t>
      </w:r>
      <w:r>
        <w:rPr>
          <w:spacing w:val="2"/>
          <w:sz w:val="20"/>
        </w:rPr>
        <w:t> </w:t>
      </w:r>
      <w:r>
        <w:rPr>
          <w:sz w:val="20"/>
        </w:rPr>
        <w:t>solidaire</w:t>
      </w:r>
      <w:r>
        <w:rPr>
          <w:spacing w:val="3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profil porteur</w:t>
      </w:r>
      <w:r>
        <w:rPr>
          <w:spacing w:val="2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porte-</w:t>
      </w:r>
      <w:r>
        <w:rPr>
          <w:spacing w:val="-2"/>
          <w:sz w:val="20"/>
        </w:rPr>
        <w:t>verre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3056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Tél.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254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4965139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992462pt;margin-top:68.660667pt;width:88.35pt;height:13.95pt;mso-position-horizontal-relative:page;mso-position-vertical-relative:page;z-index:-1585356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Telescopic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Arial" w:hAnsi="Arial" w:eastAsia="Arial" w:cs="Arial"/>
        <w:b w:val="0"/>
        <w:bCs w:val="0"/>
        <w:i w:val="0"/>
        <w:iCs w:val="0"/>
        <w:w w:val="116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18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37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56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75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9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13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2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51" w:hanging="13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2593" w:hanging="13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2023-01-12T12:46:35Z</dcterms:created>
  <dcterms:modified xsi:type="dcterms:W3CDTF">2023-01-12T12:46:35Z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