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14;top:4148;width:482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8887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80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Laufschiene.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Deckenmontage.</w:t>
                    </w:r>
                    <w:r>
                      <w:rPr>
                        <w:b/>
                        <w:color w:val="003C78"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Aussenbereich-Ausführung.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8;width:805;height:199" type="#_x0000_t202" id="docshape5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502;width:6007;height:431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Laufrollen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Hochleistungskunstoff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gewährleisten</w:t>
                    </w:r>
                    <w:r>
                      <w:rPr>
                        <w:spacing w:val="5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hohe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Laufruhe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leichtgängiges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Schieben</w:t>
                    </w:r>
                  </w:p>
                </w:txbxContent>
              </v:textbox>
              <w10:wrap type="none"/>
            </v:shape>
            <v:shape style="position:absolute;left:3464;top:4256;width:981;height:199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6012;height:431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Korrosionsbeständige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Materialien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für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Einsatz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vorübergehend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feuchten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Innenräumen</w:t>
                    </w:r>
                  </w:p>
                </w:txbxContent>
              </v:textbox>
              <w10:wrap type="none"/>
            </v:shape>
            <v:shape style="position:absolute;left:572;top:5112;width:4188;height:1985" type="#_x0000_t202" id="docshape57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 Merkmale</w:t>
                    </w:r>
                    <w:r>
                      <w:rPr>
                        <w:b/>
                        <w:spacing w:val="58"/>
                        <w:sz w:val="20"/>
                      </w:rPr>
                      <w:t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6" w:lineRule="auto" w:before="14"/>
                      <w:ind w:left="2324" w:right="63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Türdicke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Türbreite</w:t>
                    </w:r>
                  </w:p>
                  <w:p>
                    <w:pPr>
                      <w:spacing w:line="266" w:lineRule="auto" w:before="25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</w:t>
                    </w:r>
                    <w:r>
                      <w:rPr>
                        <w:spacing w:val="-2"/>
                        <w:sz w:val="20"/>
                      </w:rPr>
                      <w:t>Höhenverstellbarkeit Dämpfung</w:t>
                    </w:r>
                  </w:p>
                  <w:p>
                    <w:pPr>
                      <w:spacing w:line="230" w:lineRule="exact" w:before="0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Türe</w:t>
                    </w:r>
                  </w:p>
                </w:txbxContent>
              </v:textbox>
              <w10:wrap type="none"/>
            </v:shape>
            <v:shape style="position:absolute;left:7615;top:5112;width:955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35–80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6" w:lineRule="auto" w:before="21"/>
                      <w:ind w:left="0" w:right="14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4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Nein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7437;width:3824;height:454" type="#_x0000_t202" id="docshape59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before="1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Obenlaufend</w:t>
                    </w:r>
                  </w:p>
                </w:txbxContent>
              </v:textbox>
              <w10:wrap type="none"/>
            </v:shape>
            <v:shape style="position:absolute;left:7615;top:7437;width:229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572;top:8242;width:1854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30;width:4947;height:709" type="#_x0000_t202" id="docshape6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</w:tabs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6" w:lineRule="auto" w:before="2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mittel / halb öffentlich zugänglich</w:t>
                      <w:tab/>
                    </w:r>
                    <w:r>
                      <w:rPr>
                        <w:spacing w:val="-6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5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109" w:hanging="2349"/>
      </w:pPr>
      <w:r>
        <w:rPr>
          <w:b/>
          <w:position w:val="1"/>
        </w:rPr>
        <w:t>Durchgeführte Tests</w:t>
        <w:tab/>
      </w:r>
      <w:r>
        <w:rPr/>
        <w:t>Schlösser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Baubeschläge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Beschläge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Schiebetüren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Falttüren</w:t>
      </w:r>
      <w:r>
        <w:rPr>
          <w:spacing w:val="-2"/>
        </w:rPr>
        <w:t> </w:t>
      </w:r>
      <w:r>
        <w:rPr/>
        <w:t>nach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1527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2013 – Dauer der Funktionsfähigkeit: Klasse 6 (höchste Klasse = 100’000 Zyklen)</w:t>
      </w:r>
    </w:p>
    <w:p>
      <w:pPr>
        <w:pStyle w:val="BodyText"/>
        <w:spacing w:before="2"/>
      </w:pPr>
    </w:p>
    <w:p>
      <w:pPr>
        <w:pStyle w:val="BodyText"/>
        <w:spacing w:line="244" w:lineRule="auto" w:before="1"/>
        <w:ind w:left="2461"/>
      </w:pPr>
      <w:r>
        <w:rPr/>
        <w:t>Möbelbeschläge – Festigkeit</w:t>
      </w:r>
      <w:r>
        <w:rPr>
          <w:spacing w:val="-1"/>
        </w:rPr>
        <w:t> </w:t>
      </w:r>
      <w:r>
        <w:rPr/>
        <w:t>und</w:t>
      </w:r>
      <w:r>
        <w:rPr>
          <w:spacing w:val="-1"/>
        </w:rPr>
        <w:t> </w:t>
      </w:r>
      <w:r>
        <w:rPr/>
        <w:t>Dauerhaltbarkeit</w:t>
      </w:r>
      <w:r>
        <w:rPr>
          <w:spacing w:val="-1"/>
        </w:rPr>
        <w:t> </w:t>
      </w:r>
      <w:r>
        <w:rPr/>
        <w:t>von</w:t>
      </w:r>
      <w:r>
        <w:rPr>
          <w:spacing w:val="-1"/>
        </w:rPr>
        <w:t> </w:t>
      </w:r>
      <w:r>
        <w:rPr/>
        <w:t>Beschlägen</w:t>
      </w:r>
      <w:r>
        <w:rPr>
          <w:spacing w:val="-1"/>
        </w:rPr>
        <w:t> </w:t>
      </w:r>
      <w:r>
        <w:rPr/>
        <w:t>für Schiebetüren</w:t>
      </w:r>
      <w:r>
        <w:rPr>
          <w:spacing w:val="-1"/>
        </w:rPr>
        <w:t> </w:t>
      </w:r>
      <w:r>
        <w:rPr/>
        <w:t>und Rollladen nach EN 15706 / 2009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2461" w:val="left" w:leader="none"/>
        </w:tabs>
        <w:spacing w:line="244" w:lineRule="auto"/>
        <w:ind w:left="2461" w:right="42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Für die einwandfreie Funktion der von Hawa gelieferten Produkte und für die Haltbarkeit sämtlicher</w:t>
      </w:r>
      <w:r>
        <w:rPr>
          <w:spacing w:val="-4"/>
        </w:rPr>
        <w:t> </w:t>
      </w:r>
      <w:r>
        <w:rPr/>
        <w:t>Teile</w:t>
      </w:r>
      <w:r>
        <w:rPr>
          <w:spacing w:val="-4"/>
        </w:rPr>
        <w:t> </w:t>
      </w:r>
      <w:r>
        <w:rPr/>
        <w:t>mit</w:t>
      </w:r>
      <w:r>
        <w:rPr>
          <w:spacing w:val="-5"/>
        </w:rPr>
        <w:t> </w:t>
      </w:r>
      <w:r>
        <w:rPr/>
        <w:t>Ausnahme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Verschleissteilen</w:t>
      </w:r>
      <w:r>
        <w:rPr>
          <w:spacing w:val="-5"/>
        </w:rPr>
        <w:t> </w:t>
      </w:r>
      <w:r>
        <w:rPr/>
        <w:t>leistet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Gewähr</w:t>
      </w:r>
      <w:r>
        <w:rPr>
          <w:spacing w:val="-4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Dauer</w:t>
      </w:r>
      <w:r>
        <w:rPr>
          <w:spacing w:val="-4"/>
        </w:rPr>
        <w:t> </w:t>
      </w:r>
      <w:r>
        <w:rPr/>
        <w:t>von 2 Jahren ab Gefahrenübergang.</w:t>
      </w:r>
    </w:p>
    <w:p>
      <w:pPr>
        <w:spacing w:after="0" w:line="244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2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44" w:lineRule="auto" w:before="55"/>
        <w:ind w:left="2461" w:right="365" w:hanging="2349"/>
      </w:pPr>
      <w:r>
        <w:rPr>
          <w:b/>
          <w:spacing w:val="-2"/>
          <w:position w:val="1"/>
        </w:rPr>
        <w:t>Produktausführung</w:t>
      </w:r>
      <w:r>
        <w:rPr>
          <w:b/>
          <w:position w:val="1"/>
        </w:rPr>
        <w:tab/>
      </w:r>
      <w:r>
        <w:rPr/>
        <w:t>Hawa</w:t>
      </w:r>
      <w:r>
        <w:rPr>
          <w:spacing w:val="-5"/>
        </w:rPr>
        <w:t> </w:t>
      </w:r>
      <w:r>
        <w:rPr/>
        <w:t>Junior</w:t>
      </w:r>
      <w:r>
        <w:rPr>
          <w:spacing w:val="-5"/>
        </w:rPr>
        <w:t> </w:t>
      </w:r>
      <w:r>
        <w:rPr/>
        <w:t>80</w:t>
      </w:r>
      <w:r>
        <w:rPr>
          <w:spacing w:val="-6"/>
        </w:rPr>
        <w:t> </w:t>
      </w:r>
      <w:r>
        <w:rPr/>
        <w:t>Inox</w:t>
      </w:r>
      <w:r>
        <w:rPr>
          <w:spacing w:val="-6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</w:t>
      </w:r>
      <w:r>
        <w:rPr>
          <w:spacing w:val="-5"/>
        </w:rPr>
        <w:t> </w:t>
      </w:r>
      <w:r>
        <w:rPr/>
        <w:t>Wandstärke</w:t>
      </w:r>
      <w:r>
        <w:rPr>
          <w:spacing w:val="-5"/>
        </w:rPr>
        <w:t> </w:t>
      </w:r>
      <w:r>
        <w:rPr/>
        <w:t>2.9</w:t>
      </w:r>
      <w:r>
        <w:rPr>
          <w:spacing w:val="-6"/>
        </w:rPr>
        <w:t> </w:t>
      </w:r>
      <w:r>
        <w:rPr/>
        <w:t>mm),</w:t>
      </w:r>
      <w:r>
        <w:rPr>
          <w:spacing w:val="-6"/>
        </w:rPr>
        <w:t> </w:t>
      </w:r>
      <w:r>
        <w:rPr/>
        <w:t>Laufwerk mit Gleitlagerrollen, Stopper, Aufhängebügel, spielfreie Bodenführung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>
          <w:spacing w:val="-2"/>
        </w:rPr>
        <w:t>Optional:</w:t>
      </w:r>
    </w:p>
    <w:p>
      <w:pPr>
        <w:pStyle w:val="BodyText"/>
        <w:spacing w:before="5"/>
        <w:ind w:left="2461"/>
      </w:pPr>
      <w:r>
        <w:rPr>
          <w:spacing w:val="-2"/>
        </w:rPr>
        <w:t>(….)</w:t>
      </w:r>
      <w:r>
        <w:rPr>
          <w:spacing w:val="-8"/>
        </w:rPr>
        <w:t> </w:t>
      </w:r>
      <w:r>
        <w:rPr>
          <w:spacing w:val="-2"/>
        </w:rPr>
        <w:t>Führungsschiene,</w:t>
      </w:r>
      <w:r>
        <w:rPr>
          <w:spacing w:val="-6"/>
        </w:rPr>
        <w:t> </w:t>
      </w:r>
      <w:r>
        <w:rPr>
          <w:spacing w:val="-2"/>
        </w:rPr>
        <w:t>zum</w:t>
      </w:r>
      <w:r>
        <w:rPr>
          <w:spacing w:val="-6"/>
        </w:rPr>
        <w:t> </w:t>
      </w:r>
      <w:r>
        <w:rPr>
          <w:spacing w:val="-2"/>
        </w:rPr>
        <w:t>Einnuten,</w:t>
      </w:r>
      <w:r>
        <w:rPr>
          <w:spacing w:val="-6"/>
        </w:rPr>
        <w:t> </w:t>
      </w:r>
      <w:r>
        <w:rPr>
          <w:spacing w:val="-2"/>
        </w:rPr>
        <w:t>Kunststoff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19"/>
        <w:ind w:left="112"/>
      </w:pPr>
      <w:r>
        <w:rPr>
          <w:spacing w:val="-2"/>
          <w:position w:val="2"/>
        </w:rPr>
        <w:t>Schnittstellen</w:t>
      </w:r>
      <w:r>
        <w:rPr>
          <w:position w:val="2"/>
        </w:rPr>
        <w:tab/>
      </w:r>
      <w:r>
        <w:rPr>
          <w:spacing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7"/>
        <w:jc w:val="left"/>
        <w:rPr>
          <w:sz w:val="20"/>
        </w:rPr>
      </w:pPr>
      <w:r>
        <w:rPr>
          <w:sz w:val="20"/>
        </w:rPr>
        <w:t>Geschraubte</w:t>
      </w:r>
      <w:r>
        <w:rPr>
          <w:spacing w:val="1"/>
          <w:sz w:val="20"/>
        </w:rPr>
        <w:t> </w:t>
      </w:r>
      <w:r>
        <w:rPr>
          <w:sz w:val="20"/>
        </w:rPr>
        <w:t>Befestigung</w:t>
      </w:r>
      <w:r>
        <w:rPr>
          <w:spacing w:val="1"/>
          <w:sz w:val="20"/>
        </w:rPr>
        <w:t> </w:t>
      </w:r>
      <w:r>
        <w:rPr>
          <w:sz w:val="20"/>
        </w:rPr>
        <w:t>des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Aufhängebügels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7"/>
        <w:jc w:val="left"/>
        <w:rPr>
          <w:sz w:val="20"/>
        </w:rPr>
      </w:pPr>
      <w:r>
        <w:rPr>
          <w:sz w:val="20"/>
        </w:rPr>
        <w:t>Führungsnut</w:t>
      </w:r>
      <w:r>
        <w:rPr>
          <w:spacing w:val="-7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B)</w:t>
      </w:r>
      <w:r>
        <w:rPr>
          <w:spacing w:val="-8"/>
          <w:sz w:val="20"/>
        </w:rPr>
        <w:t> </w:t>
      </w:r>
      <w:r>
        <w:rPr>
          <w:sz w:val="20"/>
        </w:rPr>
        <w:t>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5"/>
          <w:sz w:val="20"/>
        </w:rPr>
        <w:t> </w:t>
      </w:r>
      <w:r>
        <w:rPr>
          <w:sz w:val="20"/>
        </w:rPr>
        <w:t>10</w:t>
      </w:r>
      <w:r>
        <w:rPr>
          <w:spacing w:val="-7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6"/>
          <w:sz w:val="20"/>
        </w:rPr>
        <w:t> </w:t>
      </w:r>
      <w:r>
        <w:rPr>
          <w:sz w:val="20"/>
        </w:rPr>
        <w:t>12</w:t>
      </w:r>
      <w:r>
        <w:rPr>
          <w:spacing w:val="-6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bei</w:t>
      </w:r>
      <w:r>
        <w:rPr>
          <w:spacing w:val="-8"/>
          <w:sz w:val="20"/>
        </w:rPr>
        <w:t> </w:t>
      </w:r>
      <w:r>
        <w:rPr>
          <w:sz w:val="20"/>
        </w:rPr>
        <w:t>Führungsschiene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Kunststoff)</w:t>
      </w:r>
    </w:p>
    <w:sectPr>
      <w:pgSz w:w="11910" w:h="16840"/>
      <w:pgMar w:header="401" w:footer="1105" w:top="1960" w:bottom="130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15852544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before="2"/>
                  <w:ind w:left="20"/>
                </w:pPr>
                <w:r>
                  <w:rPr/>
                  <w:t>Untere Fischbachstrasse</w:t>
                </w:r>
                <w:r>
                  <w:rPr>
                    <w:spacing w:val="1"/>
                  </w:rPr>
                  <w:t> </w:t>
                </w:r>
                <w:r>
                  <w:rPr/>
                  <w:t>4,</w:t>
                </w:r>
                <w:r>
                  <w:rPr>
                    <w:spacing w:val="-4"/>
                  </w:rPr>
                  <w:t> </w:t>
                </w:r>
                <w:r>
                  <w:rPr/>
                  <w:t>8932</w:t>
                </w:r>
                <w:r>
                  <w:rPr>
                    <w:spacing w:val="3"/>
                  </w:rPr>
                  <w:t> </w:t>
                </w:r>
                <w:r>
                  <w:rPr/>
                  <w:t>Mettmenstetten, </w:t>
                </w:r>
                <w:r>
                  <w:rPr>
                    <w:spacing w:val="-2"/>
                  </w:rPr>
                  <w:t>Schweiz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Tel.</w:t>
                </w:r>
                <w:r>
                  <w:rPr>
                    <w:spacing w:val="-10"/>
                  </w:rPr>
                  <w:t> </w:t>
                </w:r>
                <w:r>
                  <w:rPr/>
                  <w:t>+41</w:t>
                </w:r>
                <w:r>
                  <w:rPr>
                    <w:spacing w:val="-9"/>
                  </w:rPr>
                  <w:t> </w:t>
                </w:r>
                <w:r>
                  <w:rPr/>
                  <w:t>44</w:t>
                </w:r>
                <w:r>
                  <w:rPr>
                    <w:spacing w:val="-9"/>
                  </w:rPr>
                  <w:t> </w:t>
                </w:r>
                <w:r>
                  <w:rPr/>
                  <w:t>787</w:t>
                </w:r>
                <w:r>
                  <w:rPr>
                    <w:spacing w:val="-9"/>
                  </w:rPr>
                  <w:t> </w:t>
                </w:r>
                <w:r>
                  <w:rPr/>
                  <w:t>17</w:t>
                </w:r>
                <w:r>
                  <w:rPr>
                    <w:spacing w:val="-9"/>
                  </w:rPr>
                  <w:t> </w:t>
                </w:r>
                <w:r>
                  <w:rPr/>
                  <w:t>17,</w:t>
                </w:r>
                <w:r>
                  <w:rPr>
                    <w:spacing w:val="-9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10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203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5595233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54565pt;margin-top:68.660667pt;width:41.35pt;height:13.95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pacing w:val="-4"/>
                    <w:sz w:val="24"/>
                  </w:rPr>
                  <w:t>Inox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3460" w:hanging="157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4301" w:hanging="157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5142" w:hanging="157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5983" w:hanging="157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6824" w:hanging="157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7665" w:hanging="157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8506" w:hanging="157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9347" w:hanging="157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b/>
      <w:bCs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2617" w:hanging="157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2023-01-12T13:44:42Z</dcterms:created>
  <dcterms:modified xsi:type="dcterms:W3CDTF">2023-01-12T13:44:42Z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