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-6904" coordorigin="62,1983" coordsize="11783,739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coordorigin="62,6881" coordsize="11783,539" path="m11845,6881l11289,6881,7615,6881,2897,6881,62,6881,62,7420,2897,7420,7615,7420,11289,7420,11845,7420,11845,6881e" filled="true" fillcolor="#f4f4f4" stroked="false">
              <v:path arrowok="t"/>
              <v:fill type="solid"/>
            </v:shape>
            <v:rect style="position:absolute;left:2897;top:7397;width:4718;height:23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coordorigin="62,7420" coordsize="11783,256" path="m11845,7420l11289,7420,7615,7420,2897,7420,62,7420,62,7675,2897,7675,7615,7675,11289,7675,11845,7675,11845,7420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coordorigin="62,7930" coordsize="11783,539" path="m11845,7930l11289,7930,7615,7930,2897,7930,62,7930,62,8469,2897,8469,7615,8469,11289,8469,11845,8469,11845,7930e" filled="true" fillcolor="#f4f4f4" stroked="false">
              <v:path arrowok="t"/>
              <v:fill type="solid"/>
            </v:shape>
            <v:rect style="position:absolute;left:2897;top:8446;width:4718;height:23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coordorigin="62,8469" coordsize="11783,256" path="m11845,8469l11289,8469,7615,8469,2897,8469,62,8469,62,8724,2897,8724,7615,8724,11289,8724,11845,8724,11845,8469e" filled="true" fillcolor="#f4f4f4" stroked="false">
              <v:path arrowok="t"/>
              <v:fill type="solid"/>
            </v:shape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filled="true" fillcolor="#f4f4f4" stroked="false">
              <v:fill type="solid"/>
            </v:rect>
            <v:shape style="position:absolute;left:572;top:2243;width:9259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Wand- oder Deckenmontage. Mit Festglashalterung.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292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Bei Standardanwendungen mit Option Synchro erweiterbar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5899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Zwei simultan schiebende Türen ermöglichen grosse, barrierefreie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Öffnungen</w:t>
                    </w:r>
                  </w:p>
                </w:txbxContent>
              </v:textbox>
              <w10:wrap type="none"/>
            </v:shape>
            <v:shape style="position:absolute;left:572;top:4885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885;width:1012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8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+/- 4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Glas</w:t>
                    </w:r>
                  </w:p>
                </w:txbxContent>
              </v:textbox>
              <w10:wrap type="none"/>
            </v:shape>
            <v:shape style="position:absolute;left:572;top:7210;width:3824;height:709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9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210;width:229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270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259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259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514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8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DIN-EN</w:t>
      </w:r>
      <w:r>
        <w:rPr>
          <w:spacing w:val="-35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361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37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tabs>
          <w:tab w:pos="2461" w:val="left" w:leader="none"/>
        </w:tabs>
        <w:spacing w:line="249" w:lineRule="auto" w:before="0"/>
        <w:ind w:left="2461" w:right="236" w:hanging="2349"/>
        <w:jc w:val="left"/>
        <w:rPr>
          <w:sz w:val="19"/>
        </w:rPr>
      </w:pPr>
      <w:r>
        <w:rPr>
          <w:b/>
          <w:position w:val="1"/>
          <w:sz w:val="20"/>
        </w:rPr>
        <w:t>Produktausführung</w:t>
        <w:tab/>
      </w:r>
      <w:r>
        <w:rPr>
          <w:w w:val="105"/>
          <w:sz w:val="19"/>
        </w:rPr>
        <w:t>Hawa Porta 100 GF Synchro bestehend aus Laufschiene mit Festglasprofil (Aluminium), Clip- Blende, Laufwerk mit Kugellagerrollen, Stopper mit Rückhaltefeder, Kevlarseil mit Umlenkrollen, Klemmschuh mit Aufhängeschraube, spielfreie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Bodenführung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spacing w:line="249" w:lineRule="auto" w:before="9"/>
        <w:ind w:left="2461" w:right="5170" w:firstLine="0"/>
        <w:jc w:val="left"/>
        <w:rPr>
          <w:sz w:val="19"/>
        </w:rPr>
      </w:pPr>
      <w:r>
        <w:rPr>
          <w:w w:val="105"/>
          <w:sz w:val="19"/>
        </w:rPr>
        <w:t>(….) Dämpfeinzug Hawa Porta 100 (….) Bodentürstopper, mit Zentrierteil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19"/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1"/>
          <w:sz w:val="20"/>
        </w:rPr>
        <w:t> </w:t>
      </w:r>
      <w:r>
        <w:rPr>
          <w:sz w:val="20"/>
        </w:rPr>
        <w:t>keine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Glasbefestigung</w:t>
      </w:r>
      <w:r>
        <w:rPr>
          <w:spacing w:val="-1"/>
          <w:sz w:val="20"/>
        </w:rPr>
        <w:t> </w:t>
      </w:r>
      <w:r>
        <w:rPr>
          <w:sz w:val="20"/>
        </w:rPr>
        <w:t>geklemmt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716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14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21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39">
          <wp:simplePos x="0" y="0"/>
          <wp:positionH relativeFrom="page">
            <wp:posOffset>4993944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992462pt;margin-top:68.660667pt;width:88.25pt;height:13.95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GF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2022-12-08T13:30:14Z</dcterms:created>
  <dcterms:modified xsi:type="dcterms:W3CDTF">2022-12-08T13:30:14Z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