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93.8pt;mso-position-horizontal-relative:page;mso-position-vertical-relative:page;z-index:15728640" id="docshapegroup4" coordorigin="62,1983" coordsize="11783,7876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<v:path arrowok="t"/>
              <v:fill type="solid"/>
            </v:shape>
            <v:rect style="position:absolute;left:2897;top:7085;width:4718;height:23" id="docshape3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id="docshape34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id="docshape41" coordorigin="62,7902" coordsize="11783,256" path="m11845,7902l11289,7902,7615,7902,2897,7902,62,7902,62,8157,2897,8157,7615,8157,11289,8157,11845,8157,11845,7902xe" filled="true" fillcolor="#f4f4f4" stroked="false">
              <v:path arrowok="t"/>
              <v:fill type="solid"/>
            </v:shape>
            <v:rect style="position:absolute;left:2897;top:8134;width:4718;height:23" id="docshape42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id="docshape4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id="docshape44" coordorigin="62,8157" coordsize="11783,256" path="m11845,8157l11289,8157,7615,8157,2897,8157,62,8157,62,8412,2897,8412,7615,8412,11289,8412,11845,8412,11845,8157xe" filled="true" fillcolor="#f4f4f4" stroked="false">
              <v:path arrowok="t"/>
              <v:fill type="solid"/>
            </v:shape>
            <v:rect style="position:absolute;left:2897;top:8389;width:4718;height:23" id="docshape45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id="docshape46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539" id="docshape47" coordorigin="62,8412" coordsize="11783,539" path="m11845,8412l11289,8412,7615,8412,2897,8412,62,8412,62,8951,2897,8951,7615,8951,11289,8951,11845,8951,11845,8412xe" filled="true" fillcolor="#f4f4f4" stroked="false">
              <v:path arrowok="t"/>
              <v:fill type="solid"/>
            </v:shape>
            <v:rect style="position:absolute;left:2897;top:8928;width:4718;height:23" id="docshape48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9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id="docshape50" coordorigin="62,8951" coordsize="11783,256" path="m11845,8951l11289,8951,7615,8951,2897,8951,62,8951,62,9206,2897,9206,7615,9206,11289,9206,11845,9206,11845,8951xe" filled="true" fillcolor="#f4f4f4" stroked="false">
              <v:path arrowok="t"/>
              <v:fill type="solid"/>
            </v:shape>
            <v:rect style="position:absolute;left:2897;top:9183;width:4718;height:23" id="docshape51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id="docshape52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shape style="position:absolute;left:62;top:9206;width:11783;height:256" id="docshape53" coordorigin="62,9206" coordsize="11783,256" path="m11845,9206l11289,9206,7615,9206,2897,9206,62,9206,62,9461,2897,9461,7615,9461,11289,9461,11845,9461,11845,9206xe" filled="true" fillcolor="#f4f4f4" stroked="false">
              <v:path arrowok="t"/>
              <v:fill type="solid"/>
            </v:shape>
            <v:rect style="position:absolute;left:2897;top:9438;width:4718;height:23" id="docshape54" filled="true" fillcolor="#dcdcdc" stroked="false">
              <v:fill type="solid"/>
            </v:rect>
            <v:line style="position:absolute" from="2909,9450" to="7604,9450" stroked="true" strokeweight="0pt" strokecolor="#dcdcdc">
              <v:stroke dashstyle="solid"/>
            </v:line>
            <v:rect style="position:absolute;left:7615;top:9438;width:3675;height:23" id="docshape55" filled="true" fillcolor="#dcdcdc" stroked="false">
              <v:fill type="solid"/>
            </v:rect>
            <v:line style="position:absolute" from="7626,9450" to="11278,9450" stroked="true" strokeweight="0pt" strokecolor="#dcdcdc">
              <v:stroke dashstyle="solid"/>
            </v:line>
            <v:rect style="position:absolute;left:62;top:9461;width:11772;height:397" id="docshape56" filled="true" fillcolor="#f4f4f4" stroked="false">
              <v:fill type="solid"/>
            </v:rect>
            <v:shape style="position:absolute;left:572;top:2243;width:10002;height:522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deckenbündiger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Dämpfeinzug.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Wand-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668;height:431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der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Wand,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deckenintegriert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oder</w:t>
                    </w:r>
                    <w:r>
                      <w:rPr>
                        <w:spacing w:val="-2"/>
                        <w:sz w:val="20"/>
                      </w:rPr>
                      <w:t> deckenaufgesetzt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möglich</w:t>
                    </w:r>
                  </w:p>
                </w:txbxContent>
              </v:textbox>
              <w10:wrap type="none"/>
            </v:shape>
            <v:shape style="position:absolute;left:3464;top:4256;width:803;height:19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250;width:5933;height:431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Technik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nahezu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unsichtbar,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deckenintegrierten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Laufprofil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enthalten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ist</w:t>
                    </w:r>
                  </w:p>
                </w:txbxContent>
              </v:textbox>
              <w10:wrap type="none"/>
            </v:shape>
            <v:shape style="position:absolute;left:572;top:5112;width:4188;height:1985" type="#_x0000_t202" id="docshape63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6" w:lineRule="auto" w:before="14"/>
                      <w:ind w:left="2324" w:right="63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>
                    <w:pPr>
                      <w:spacing w:line="266" w:lineRule="auto" w:before="25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  <w10:wrap type="none"/>
            </v:shape>
            <v:shape style="position:absolute;left:7615;top:5112;width:1012;height:1985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kg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8–12.7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6" w:lineRule="auto" w:before="25"/>
                      <w:ind w:left="0" w:right="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6"/>
                        <w:sz w:val="20"/>
                      </w:rPr>
                      <w:t>Ja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Glas</w:t>
                    </w:r>
                  </w:p>
                </w:txbxContent>
              </v:textbox>
              <w10:wrap type="none"/>
            </v:shape>
            <v:shape style="position:absolute;left:572;top:7437;width:4922;height:964" type="#_x0000_t202" id="docshape65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6" w:lineRule="auto" w:before="9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Deckenmontage </w:t>
                    </w:r>
                    <w:r>
                      <w:rPr>
                        <w:sz w:val="20"/>
                      </w:rPr>
                      <w:t>Deckenmontage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eingelassen </w:t>
                    </w: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437;width:229;height:964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spacing w:line="266" w:lineRule="auto" w:before="2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Ja Ja </w:t>
                    </w:r>
                    <w:r>
                      <w:rPr>
                        <w:spacing w:val="-7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752;width:1854;height:199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741;width:4947;height:709" type="#_x0000_t202" id="docshape68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  <w:tab/>
                    </w: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BodyText"/>
        <w:tabs>
          <w:tab w:pos="2461" w:val="left" w:leader="none"/>
        </w:tabs>
        <w:spacing w:line="247" w:lineRule="auto" w:before="56"/>
        <w:ind w:left="2461" w:right="119" w:hanging="2349"/>
      </w:pPr>
      <w:r>
        <w:rPr>
          <w:b/>
          <w:position w:val="1"/>
        </w:rPr>
        <w:t>Durchgeführte 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Falttüren</w:t>
      </w:r>
      <w:r>
        <w:rPr>
          <w:spacing w:val="-4"/>
        </w:rPr>
        <w:t> </w:t>
      </w:r>
      <w:r>
        <w:rPr/>
        <w:t>nach</w:t>
      </w:r>
      <w:r>
        <w:rPr>
          <w:spacing w:val="-4"/>
        </w:rPr>
        <w:t> </w:t>
      </w:r>
      <w:r>
        <w:rPr/>
        <w:t>DIN-EN</w:t>
      </w:r>
      <w:r>
        <w:rPr>
          <w:spacing w:val="-4"/>
        </w:rPr>
        <w:t> </w:t>
      </w:r>
      <w:r>
        <w:rPr/>
        <w:t>1527 – Dauer der Funktionsfähigkeit: Klasse 6 (höchste Klasse = 100’000 Zyklen)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Möbelschlösser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-beschläge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Rollenbeschläge</w:t>
      </w:r>
      <w:r>
        <w:rPr>
          <w:spacing w:val="-4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nach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7"/>
        <w:jc w:val="left"/>
        <w:rPr>
          <w:sz w:val="20"/>
        </w:rPr>
      </w:pPr>
      <w:r>
        <w:rPr>
          <w:spacing w:val="-2"/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7"/>
        <w:jc w:val="left"/>
        <w:rPr>
          <w:sz w:val="20"/>
        </w:rPr>
      </w:pPr>
      <w:r>
        <w:rPr>
          <w:spacing w:val="-2"/>
          <w:sz w:val="20"/>
        </w:rPr>
        <w:t>Herausfallsicherheit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BodyText"/>
        <w:tabs>
          <w:tab w:pos="2461" w:val="left" w:leader="none"/>
        </w:tabs>
        <w:spacing w:line="244" w:lineRule="auto" w:before="1"/>
        <w:ind w:left="2461" w:right="2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2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before="52"/>
        <w:ind w:left="2461" w:right="109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rPr/>
        <w:t>Hawa Porta 100 GW bestehend aus Laufschiene (Aluminium), Clip-Blende, Laufwerk mit Kugellagerrollen, Stopper mit Rückhaltefeder, Klemmschuh mit Aufhängeschraube, spielfreie </w:t>
      </w:r>
      <w:r>
        <w:rPr>
          <w:spacing w:val="-2"/>
        </w:rPr>
        <w:t>Bodenführung</w:t>
      </w:r>
    </w:p>
    <w:p>
      <w:pPr>
        <w:pStyle w:val="BodyText"/>
        <w:spacing w:before="6"/>
      </w:pPr>
    </w:p>
    <w:p>
      <w:pPr>
        <w:pStyle w:val="BodyText"/>
        <w:spacing w:before="1"/>
        <w:ind w:left="2461"/>
      </w:pPr>
      <w:r>
        <w:rPr>
          <w:spacing w:val="-2"/>
        </w:rPr>
        <w:t>Optional:</w:t>
      </w:r>
    </w:p>
    <w:p>
      <w:pPr>
        <w:pStyle w:val="BodyText"/>
        <w:spacing w:before="1"/>
        <w:ind w:left="2461" w:right="3210"/>
      </w:pPr>
      <w:r>
        <w:rPr/>
        <w:t>(….)</w:t>
      </w:r>
      <w:r>
        <w:rPr>
          <w:spacing w:val="-8"/>
        </w:rPr>
        <w:t> </w:t>
      </w:r>
      <w:r>
        <w:rPr/>
        <w:t>Wandbefestigungs-Winkelprofil</w:t>
      </w:r>
      <w:r>
        <w:rPr>
          <w:spacing w:val="-8"/>
        </w:rPr>
        <w:t> </w:t>
      </w:r>
      <w:r>
        <w:rPr/>
        <w:t>mit</w:t>
      </w:r>
      <w:r>
        <w:rPr>
          <w:spacing w:val="-7"/>
        </w:rPr>
        <w:t> </w:t>
      </w:r>
      <w:r>
        <w:rPr/>
        <w:t>Schraubenset (….) Dämpfeinzug Hawa Porta 100</w:t>
      </w:r>
    </w:p>
    <w:p>
      <w:pPr>
        <w:pStyle w:val="BodyText"/>
        <w:spacing w:before="3"/>
        <w:ind w:left="2461"/>
      </w:pPr>
      <w:r>
        <w:rPr>
          <w:w w:val="90"/>
        </w:rPr>
        <w:t>(….)</w:t>
      </w:r>
      <w:r>
        <w:rPr/>
        <w:t> </w:t>
      </w:r>
      <w:r>
        <w:rPr>
          <w:spacing w:val="-2"/>
        </w:rPr>
        <w:t>Wandausgleichprofil</w:t>
      </w:r>
    </w:p>
    <w:p>
      <w:pPr>
        <w:pStyle w:val="BodyText"/>
        <w:spacing w:before="2"/>
        <w:ind w:left="2461"/>
      </w:pPr>
      <w:r>
        <w:rPr/>
        <w:t>(….)</w:t>
      </w:r>
      <w:r>
        <w:rPr>
          <w:spacing w:val="-5"/>
        </w:rPr>
        <w:t> </w:t>
      </w:r>
      <w:r>
        <w:rPr/>
        <w:t>Bodentürstopper,</w:t>
      </w:r>
      <w:r>
        <w:rPr>
          <w:spacing w:val="-3"/>
        </w:rPr>
        <w:t> </w:t>
      </w:r>
      <w:r>
        <w:rPr/>
        <w:t>mit</w:t>
      </w:r>
      <w:r>
        <w:rPr>
          <w:spacing w:val="-3"/>
        </w:rPr>
        <w:t> </w:t>
      </w:r>
      <w:r>
        <w:rPr>
          <w:spacing w:val="-2"/>
        </w:rPr>
        <w:t>Zentrierteil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sz w:val="19"/>
        </w:rPr>
      </w:pPr>
      <w:r>
        <w:rPr>
          <w:b/>
          <w:spacing w:val="-2"/>
          <w:position w:val="1"/>
          <w:sz w:val="20"/>
        </w:rPr>
        <w:t>Schnittstellen</w:t>
      </w:r>
      <w:r>
        <w:rPr>
          <w:b/>
          <w:position w:val="1"/>
          <w:sz w:val="20"/>
        </w:rPr>
        <w:tab/>
      </w:r>
      <w:r>
        <w:rPr>
          <w:spacing w:val="-2"/>
          <w:sz w:val="19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3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Ausfräsung</w:t>
      </w:r>
      <w:r>
        <w:rPr>
          <w:spacing w:val="-8"/>
          <w:w w:val="105"/>
          <w:sz w:val="19"/>
        </w:rPr>
        <w:t> </w:t>
      </w:r>
      <w:r>
        <w:rPr>
          <w:spacing w:val="-4"/>
          <w:w w:val="105"/>
          <w:sz w:val="19"/>
        </w:rPr>
        <w:t>keine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3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Glasbefestigung</w:t>
      </w:r>
      <w:r>
        <w:rPr>
          <w:spacing w:val="-1"/>
          <w:w w:val="105"/>
          <w:sz w:val="19"/>
        </w:rPr>
        <w:t> </w:t>
      </w:r>
      <w:r>
        <w:rPr>
          <w:spacing w:val="-2"/>
          <w:w w:val="105"/>
          <w:sz w:val="19"/>
        </w:rPr>
        <w:t>geklemmt</w:t>
      </w:r>
    </w:p>
    <w:sectPr>
      <w:pgSz w:w="11910" w:h="16840"/>
      <w:pgMar w:header="401" w:footer="1105" w:top="1960" w:bottom="130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15859200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Schweiz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Tel.</w:t>
                </w:r>
                <w:r>
                  <w:rPr>
                    <w:spacing w:val="-10"/>
                  </w:rPr>
                  <w:t> </w:t>
                </w:r>
                <w:r>
                  <w:rPr/>
                  <w:t>+41</w:t>
                </w:r>
                <w:r>
                  <w:rPr>
                    <w:spacing w:val="-9"/>
                  </w:rPr>
                  <w:t> </w:t>
                </w:r>
                <w:r>
                  <w:rPr/>
                  <w:t>44</w:t>
                </w:r>
                <w:r>
                  <w:rPr>
                    <w:spacing w:val="-9"/>
                  </w:rPr>
                  <w:t> </w:t>
                </w:r>
                <w:r>
                  <w:rPr/>
                  <w:t>787</w:t>
                </w:r>
                <w:r>
                  <w:rPr>
                    <w:spacing w:val="-9"/>
                  </w:rPr>
                  <w:t> </w:t>
                </w:r>
                <w:r>
                  <w:rPr/>
                  <w:t>17</w:t>
                </w:r>
                <w:r>
                  <w:rPr>
                    <w:spacing w:val="-9"/>
                  </w:rPr>
                  <w:t> </w:t>
                </w:r>
                <w:r>
                  <w:rPr/>
                  <w:t>17,</w:t>
                </w:r>
                <w:r>
                  <w:rPr>
                    <w:spacing w:val="-9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0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8688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574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6256">
          <wp:simplePos x="0" y="0"/>
          <wp:positionH relativeFrom="page">
            <wp:posOffset>5573630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08551pt;margin-top:68.660667pt;width:45.1pt;height:13.95pt;mso-position-horizontal-relative:page;mso-position-vertical-relative:page;z-index:-1585971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GW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w w:val="8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40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261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082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903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2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545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366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187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2617" w:hanging="15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2022-12-15T13:25:10Z</dcterms:created>
  <dcterms:modified xsi:type="dcterms:W3CDTF">2022-12-15T13:25:10Z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  <property fmtid="{D5CDD505-2E9C-101B-9397-08002B2CF9AE}" pid="5" name="Producer">
    <vt:lpwstr>wPDF4 x64 by WPCubed GmbH</vt:lpwstr>
  </property>
</Properties>
</file>