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69.7pt;mso-position-horizontal-relative:page;mso-position-vertical-relative:page;z-index:15728640" id="docshapegroup4" coordorigin="62,1983" coordsize="11783,7394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550" id="docshape7" coordorigin="62,3315" coordsize="11783,550" path="m11845,3315l1253,3315,1253,3344,62,3344,62,3865,2897,3865,3464,3865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214" id="docshape9" coordorigin="62,3344" coordsize="11766,1214" path="m3464,3865l2897,3865,62,3865,62,4557,2897,4557,3464,4557,3464,3865xm11828,3344l11289,3344,4882,3344,3464,3344,3464,3865,4882,3865,11289,3865,11828,3865,11828,3344xe" filled="true" fillcolor="#f4f4f4" stroked="false">
              <v:path arrowok="t"/>
              <v:fill type="solid"/>
            </v:shape>
            <v:shape style="position:absolute;left:2942;top:3921;width:420;height:454" type="#_x0000_t75" id="docshape10" stroked="false">
              <v:imagedata r:id="rId8" o:title=""/>
            </v:shape>
            <v:shape style="position:absolute;left:62;top:3865;width:11783;height:1231" id="docshape11" coordorigin="62,3865" coordsize="11783,1231" path="m11845,4557l11834,4557,11834,3865,11119,3865,4882,3865,3464,3865,3464,4557,2897,4557,62,4557,62,5095,2897,5095,7615,5095,11289,5095,11845,5095,11845,4557xe" filled="true" fillcolor="#f4f4f4" stroked="false">
              <v:path arrowok="t"/>
              <v:fill type="solid"/>
            </v:shape>
            <v:rect style="position:absolute;left:2897;top:5072;width:4718;height:23" id="docshape12" filled="true" fillcolor="#dcdcdc" stroked="false">
              <v:fill type="solid"/>
            </v:rect>
            <v:line style="position:absolute" from="2909,5084" to="7604,5084" stroked="true" strokeweight="0pt" strokecolor="#dcdcdc">
              <v:stroke dashstyle="solid"/>
            </v:line>
            <v:rect style="position:absolute;left:7615;top:5072;width:3675;height:23" id="docshape13" filled="true" fillcolor="#dcdcdc" stroked="false">
              <v:fill type="solid"/>
            </v:rect>
            <v:line style="position:absolute" from="7626,5084" to="11278,5084" stroked="true" strokeweight="0pt" strokecolor="#dcdcdc">
              <v:stroke dashstyle="solid"/>
            </v:line>
            <v:shape style="position:absolute;left:62;top:5095;width:11783;height:256" id="docshape14" coordorigin="62,5095" coordsize="11783,256" path="m11845,5095l11289,5095,7615,5095,2897,5095,62,5095,62,5351,2897,5351,7615,5351,11289,5351,11845,5351,11845,5095xe" filled="true" fillcolor="#f4f4f4" stroked="false">
              <v:path arrowok="t"/>
              <v:fill type="solid"/>
            </v:shape>
            <v:rect style="position:absolute;left:2897;top:5327;width:4718;height:23" id="docshape15" filled="true" fillcolor="#dcdcdc" stroked="false">
              <v:fill type="solid"/>
            </v:rect>
            <v:line style="position:absolute" from="2909,5339" to="7604,5339" stroked="true" strokeweight="0pt" strokecolor="#dcdcdc">
              <v:stroke dashstyle="solid"/>
            </v:line>
            <v:rect style="position:absolute;left:7615;top:5327;width:3675;height:23" id="docshape16" filled="true" fillcolor="#dcdcdc" stroked="false">
              <v:fill type="solid"/>
            </v:rect>
            <v:line style="position:absolute" from="7626,5339" to="11278,5339" stroked="true" strokeweight="0pt" strokecolor="#dcdcdc">
              <v:stroke dashstyle="solid"/>
            </v:line>
            <v:shape style="position:absolute;left:62;top:5350;width:11783;height:256" id="docshape17" coordorigin="62,5351" coordsize="11783,256" path="m11845,5351l11289,5351,7615,5351,2897,5351,62,5351,62,5606,2897,5606,7615,5606,11289,5606,11845,5606,11845,5351xe" filled="true" fillcolor="#f4f4f4" stroked="false">
              <v:path arrowok="t"/>
              <v:fill type="solid"/>
            </v:shape>
            <v:rect style="position:absolute;left:2897;top:5583;width:4718;height:23" id="docshape18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id="docshape19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id="docshape20" coordorigin="62,5606" coordsize="11783,256" path="m11845,5606l11289,5606,7615,5606,2897,5606,62,5606,62,5861,2897,5861,7615,5861,11289,5861,11845,5861,11845,5606xe" filled="true" fillcolor="#f4f4f4" stroked="false">
              <v:path arrowok="t"/>
              <v:fill type="solid"/>
            </v:shape>
            <v:rect style="position:absolute;left:2897;top:5838;width:4718;height:23" id="docshape21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id="docshape22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id="docshape23" coordorigin="62,5861" coordsize="11783,256" path="m11845,5861l11289,5861,7615,5861,2897,5861,62,5861,62,6116,2897,6116,7615,6116,11289,6116,11845,6116,11845,5861xe" filled="true" fillcolor="#f4f4f4" stroked="false">
              <v:path arrowok="t"/>
              <v:fill type="solid"/>
            </v:shape>
            <v:rect style="position:absolute;left:2897;top:6093;width:4718;height:23" id="docshape24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id="docshape25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id="docshape26" coordorigin="62,6116" coordsize="11783,256" path="m11845,6116l11289,6116,7615,6116,2897,6116,62,6116,62,6371,2897,6371,7615,6371,11289,6371,11845,6371,11845,6116xe" filled="true" fillcolor="#f4f4f4" stroked="false">
              <v:path arrowok="t"/>
              <v:fill type="solid"/>
            </v:shape>
            <v:rect style="position:absolute;left:2897;top:6348;width:4718;height:23" id="docshape27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id="docshape28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id="docshape29" coordorigin="62,6371" coordsize="11783,256" path="m11845,6371l11289,6371,7615,6371,2897,6371,62,6371,62,6626,2897,6626,7615,6626,11289,6626,11845,6626,11845,6371xe" filled="true" fillcolor="#f4f4f4" stroked="false">
              <v:path arrowok="t"/>
              <v:fill type="solid"/>
            </v:shape>
            <v:rect style="position:absolute;left:2897;top:6603;width:4718;height:23" id="docshape30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id="docshape31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id="docshape32" coordorigin="62,6626" coordsize="11783,256" path="m11845,6626l11289,6626,7615,6626,2897,6626,62,6626,62,6881,2897,6881,7615,6881,11289,6881,11845,6881,11845,6626xe" filled="true" fillcolor="#f4f4f4" stroked="false">
              <v:path arrowok="t"/>
              <v:fill type="solid"/>
            </v:shape>
            <v:rect style="position:absolute;left:2897;top:6858;width:4718;height:23" id="docshape3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id="docshape34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539" id="docshape35" coordorigin="62,6881" coordsize="11783,539" path="m11845,6881l11289,6881,7615,6881,2897,6881,62,6881,62,7420,2897,7420,7615,7420,11289,7420,11845,7420,11845,6881xe" filled="true" fillcolor="#f4f4f4" stroked="false">
              <v:path arrowok="t"/>
              <v:fill type="solid"/>
            </v:shape>
            <v:rect style="position:absolute;left:2897;top:7397;width:4718;height:23" id="docshape36" filled="true" fillcolor="#dcdcdc" stroked="false">
              <v:fill type="solid"/>
            </v:rect>
            <v:line style="position:absolute" from="2909,7409" to="7604,7409" stroked="true" strokeweight="0pt" strokecolor="#dcdcdc">
              <v:stroke dashstyle="solid"/>
            </v:line>
            <v:rect style="position:absolute;left:7615;top:7397;width:3675;height:23" id="docshape37" filled="true" fillcolor="#dcdcdc" stroked="false">
              <v:fill type="solid"/>
            </v:rect>
            <v:line style="position:absolute" from="7626,7409" to="11278,7409" stroked="true" strokeweight="0pt" strokecolor="#dcdcdc">
              <v:stroke dashstyle="solid"/>
            </v:line>
            <v:shape style="position:absolute;left:62;top:7420;width:11783;height:256" id="docshape38" coordorigin="62,7420" coordsize="11783,256" path="m11845,7420l11289,7420,7615,7420,2897,7420,62,7420,62,7675,2897,7675,7615,7675,11289,7675,11845,7675,11845,7420xe" filled="true" fillcolor="#f4f4f4" stroked="false">
              <v:path arrowok="t"/>
              <v:fill type="solid"/>
            </v:shape>
            <v:rect style="position:absolute;left:2897;top:7652;width:4718;height:23" id="docshape39" filled="true" fillcolor="#dcdcdc" stroked="false">
              <v:fill type="solid"/>
            </v:rect>
            <v:line style="position:absolute" from="2909,7664" to="7604,7664" stroked="true" strokeweight="0pt" strokecolor="#dcdcdc">
              <v:stroke dashstyle="solid"/>
            </v:line>
            <v:rect style="position:absolute;left:7615;top:7652;width:3675;height:23" id="docshape40" filled="true" fillcolor="#dcdcdc" stroked="false">
              <v:fill type="solid"/>
            </v:rect>
            <v:line style="position:absolute" from="7626,7664" to="11278,7664" stroked="true" strokeweight="0pt" strokecolor="#dcdcdc">
              <v:stroke dashstyle="solid"/>
            </v:line>
            <v:shape style="position:absolute;left:62;top:7675;width:11783;height:256" id="docshape41" coordorigin="62,7675" coordsize="11783,256" path="m11845,7675l11289,7675,7615,7675,2897,7675,62,7675,62,7930,2897,7930,7615,7930,11289,7930,11845,7930,11845,7675xe" filled="true" fillcolor="#f4f4f4" stroked="false">
              <v:path arrowok="t"/>
              <v:fill type="solid"/>
            </v:shape>
            <v:rect style="position:absolute;left:2897;top:7907;width:4718;height:23" id="docshape42" filled="true" fillcolor="#dcdcdc" stroked="false">
              <v:fill type="solid"/>
            </v:rect>
            <v:line style="position:absolute" from="2909,7919" to="7604,7919" stroked="true" strokeweight="0pt" strokecolor="#dcdcdc">
              <v:stroke dashstyle="solid"/>
            </v:line>
            <v:rect style="position:absolute;left:7615;top:7907;width:3675;height:23" id="docshape43" filled="true" fillcolor="#dcdcdc" stroked="false">
              <v:fill type="solid"/>
            </v:rect>
            <v:line style="position:absolute" from="7626,7919" to="11278,7919" stroked="true" strokeweight="0pt" strokecolor="#dcdcdc">
              <v:stroke dashstyle="solid"/>
            </v:line>
            <v:shape style="position:absolute;left:62;top:7930;width:11783;height:539" id="docshape44" coordorigin="62,7930" coordsize="11783,539" path="m11845,7930l11289,7930,7615,7930,2897,7930,62,7930,62,8469,2897,8469,7615,8469,11289,8469,11845,8469,11845,7930xe" filled="true" fillcolor="#f4f4f4" stroked="false">
              <v:path arrowok="t"/>
              <v:fill type="solid"/>
            </v:shape>
            <v:rect style="position:absolute;left:2897;top:8446;width:4718;height:23" id="docshape45" filled="true" fillcolor="#dcdcdc" stroked="false">
              <v:fill type="solid"/>
            </v:rect>
            <v:line style="position:absolute" from="2909,8458" to="7604,8458" stroked="true" strokeweight="0pt" strokecolor="#dcdcdc">
              <v:stroke dashstyle="solid"/>
            </v:line>
            <v:rect style="position:absolute;left:7615;top:8446;width:3675;height:23" id="docshape46" filled="true" fillcolor="#dcdcdc" stroked="false">
              <v:fill type="solid"/>
            </v:rect>
            <v:line style="position:absolute" from="7626,8458" to="11278,8458" stroked="true" strokeweight="0pt" strokecolor="#dcdcdc">
              <v:stroke dashstyle="solid"/>
            </v:line>
            <v:shape style="position:absolute;left:62;top:8468;width:11783;height:256" id="docshape47" coordorigin="62,8469" coordsize="11783,256" path="m11845,8469l11289,8469,7615,8469,2897,8469,62,8469,62,8724,2897,8724,7615,8724,11289,8724,11845,8724,11845,8469xe" filled="true" fillcolor="#f4f4f4" stroked="false">
              <v:path arrowok="t"/>
              <v:fill type="solid"/>
            </v:shape>
            <v:rect style="position:absolute;left:2897;top:8701;width:4718;height:23" id="docshape48" filled="true" fillcolor="#dcdcdc" stroked="false">
              <v:fill type="solid"/>
            </v:rect>
            <v:line style="position:absolute" from="2909,8713" to="7604,8713" stroked="true" strokeweight="0pt" strokecolor="#dcdcdc">
              <v:stroke dashstyle="solid"/>
            </v:line>
            <v:rect style="position:absolute;left:7615;top:8701;width:3675;height:23" id="docshape49" filled="true" fillcolor="#dcdcdc" stroked="false">
              <v:fill type="solid"/>
            </v:rect>
            <v:line style="position:absolute" from="7626,8713" to="11278,8713" stroked="true" strokeweight="0pt" strokecolor="#dcdcdc">
              <v:stroke dashstyle="solid"/>
            </v:line>
            <v:shape style="position:absolute;left:62;top:8724;width:11783;height:256" id="docshape50" coordorigin="62,8724" coordsize="11783,256" path="m11845,8724l11289,8724,7615,8724,2897,8724,62,8724,62,8979,2897,8979,7615,8979,11289,8979,11845,8979,11845,8724xe" filled="true" fillcolor="#f4f4f4" stroked="false">
              <v:path arrowok="t"/>
              <v:fill type="solid"/>
            </v:shape>
            <v:rect style="position:absolute;left:2897;top:8956;width:4718;height:23" id="docshape51" filled="true" fillcolor="#dcdcdc" stroked="false">
              <v:fill type="solid"/>
            </v:rect>
            <v:line style="position:absolute" from="2909,8968" to="7604,8968" stroked="true" strokeweight="0pt" strokecolor="#dcdcdc">
              <v:stroke dashstyle="solid"/>
            </v:line>
            <v:rect style="position:absolute;left:7615;top:8956;width:3675;height:23" id="docshape52" filled="true" fillcolor="#dcdcdc" stroked="false">
              <v:fill type="solid"/>
            </v:rect>
            <v:line style="position:absolute" from="7626,8968" to="11278,8968" stroked="true" strokeweight="0pt" strokecolor="#dcdcdc">
              <v:stroke dashstyle="solid"/>
            </v:line>
            <v:rect style="position:absolute;left:62;top:8979;width:11772;height:397" id="docshape53" filled="true" fillcolor="#f4f4f4" stroked="false">
              <v:fill type="solid"/>
            </v:rect>
            <v:shape style="position:absolute;left:572;top:2243;width:10416;height:522" type="#_x0000_t202" id="docshape5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Holztüren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300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Wand-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oder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Deckenmontage.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id="docshape5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</w:t>
                    </w:r>
                    <w:r>
                      <w:rPr>
                        <w:b/>
                        <w:spacing w:val="-2"/>
                        <w:sz w:val="20"/>
                      </w:rPr>
                      <w:t>Highlights</w:t>
                    </w:r>
                  </w:p>
                </w:txbxContent>
              </v:textbox>
              <w10:wrap type="none"/>
            </v:shape>
            <v:shape style="position:absolute;left:3464;top:3508;width:992;height:199" type="#_x0000_t202" id="docshape5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3502;width:5283;height:199" type="#_x0000_t202" id="docshape5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Drei-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oder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Vier-Punkt-Führung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für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grösstmögliche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Stabilität</w:t>
                    </w:r>
                  </w:p>
                </w:txbxContent>
              </v:textbox>
              <w10:wrap type="none"/>
            </v:shape>
            <v:shape style="position:absolute;left:3464;top:4029;width:805;height:199" type="#_x0000_t202" id="docshape5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Komfort</w:t>
                    </w:r>
                  </w:p>
                </w:txbxContent>
              </v:textbox>
              <w10:wrap type="none"/>
            </v:shape>
            <v:shape style="position:absolute;left:4881;top:4023;width:5555;height:431" type="#_x0000_t202" id="docshape5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Leichtes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und ruhiges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Schieben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selbst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von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schweren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Türen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mit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Kugellagerrollen</w:t>
                    </w:r>
                  </w:p>
                </w:txbxContent>
              </v:textbox>
              <w10:wrap type="none"/>
            </v:shape>
            <v:shape style="position:absolute;left:572;top:4885;width:4188;height:1985" type="#_x0000_t202" id="docshape60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 Merkmale</w:t>
                    </w:r>
                    <w:r>
                      <w:rPr>
                        <w:b/>
                        <w:spacing w:val="58"/>
                        <w:sz w:val="20"/>
                      </w:rPr>
                      <w:t>  </w:t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6" w:lineRule="auto" w:before="14"/>
                      <w:ind w:left="2324" w:right="63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Türdicke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line="230" w:lineRule="exact" w:before="0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Türbreite</w:t>
                    </w:r>
                  </w:p>
                  <w:p>
                    <w:pPr>
                      <w:spacing w:line="266" w:lineRule="auto" w:before="25"/>
                      <w:ind w:left="2324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</w:t>
                    </w:r>
                    <w:r>
                      <w:rPr>
                        <w:spacing w:val="-2"/>
                        <w:sz w:val="20"/>
                      </w:rPr>
                      <w:t>Höhenverstellbarkeit Dämpfung</w:t>
                    </w:r>
                  </w:p>
                  <w:p>
                    <w:pPr>
                      <w:spacing w:line="230" w:lineRule="exact" w:before="0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Türe</w:t>
                    </w:r>
                  </w:p>
                </w:txbxContent>
              </v:textbox>
              <w10:wrap type="none"/>
            </v:shape>
            <v:shape style="position:absolute;left:7615;top:4885;width:1120;height:1985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kg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40–80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3950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6" w:lineRule="auto" w:before="25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+10</w:t>
                    </w:r>
                    <w:r>
                      <w:rPr>
                        <w:spacing w:val="-1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/</w:t>
                    </w:r>
                    <w:r>
                      <w:rPr>
                        <w:spacing w:val="-1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-5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mm 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Nein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Holz</w:t>
                    </w:r>
                  </w:p>
                </w:txbxContent>
              </v:textbox>
              <w10:wrap type="none"/>
            </v:shape>
            <v:shape style="position:absolute;left:572;top:7210;width:3824;height:709" type="#_x0000_t202" id="docshape6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Systemausführungen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Wandmontage</w:t>
                    </w:r>
                  </w:p>
                  <w:p>
                    <w:pPr>
                      <w:spacing w:line="266" w:lineRule="auto" w:before="9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Deckenmontage Obenlaufend</w:t>
                    </w:r>
                  </w:p>
                </w:txbxContent>
              </v:textbox>
              <w10:wrap type="none"/>
            </v:shape>
            <v:shape style="position:absolute;left:7615;top:7210;width:229;height:709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>
                    <w:pPr>
                      <w:spacing w:line="266" w:lineRule="auto" w:before="20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6"/>
                        <w:sz w:val="20"/>
                      </w:rPr>
                      <w:t>Ja </w:t>
                    </w:r>
                    <w:r>
                      <w:rPr>
                        <w:spacing w:val="-7"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572;top:8270;width:1854;height:199" type="#_x0000_t202" id="docshape6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259;width:4947;height:709" type="#_x0000_t202" id="docshape65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</w:tabs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leicht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privat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>
                    <w:pPr>
                      <w:tabs>
                        <w:tab w:pos="4717" w:val="left" w:leader="none"/>
                      </w:tabs>
                      <w:spacing w:line="266" w:lineRule="auto" w:before="2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mittel / halb öffentlich zugänglich</w:t>
                      <w:tab/>
                    </w:r>
                    <w:r>
                      <w:rPr>
                        <w:spacing w:val="-6"/>
                        <w:sz w:val="20"/>
                      </w:rPr>
                      <w:t>Ja </w:t>
                    </w: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hoch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pStyle w:val="BodyText"/>
        <w:tabs>
          <w:tab w:pos="2461" w:val="left" w:leader="none"/>
        </w:tabs>
        <w:spacing w:line="247" w:lineRule="auto"/>
        <w:ind w:left="2461" w:right="99" w:hanging="2349"/>
      </w:pPr>
      <w:r>
        <w:rPr>
          <w:b/>
          <w:position w:val="1"/>
        </w:rPr>
        <w:t>Durchgeführte Tests</w:t>
        <w:tab/>
      </w:r>
      <w:r>
        <w:rPr/>
        <w:t>Schlösser</w:t>
      </w:r>
      <w:r>
        <w:rPr>
          <w:spacing w:val="-3"/>
        </w:rPr>
        <w:t> </w:t>
      </w:r>
      <w:r>
        <w:rPr/>
        <w:t>und</w:t>
      </w:r>
      <w:r>
        <w:rPr>
          <w:spacing w:val="-4"/>
        </w:rPr>
        <w:t> </w:t>
      </w:r>
      <w:r>
        <w:rPr/>
        <w:t>Baubeschläge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Beschläge</w:t>
      </w:r>
      <w:r>
        <w:rPr>
          <w:spacing w:val="-3"/>
        </w:rPr>
        <w:t> </w:t>
      </w:r>
      <w:r>
        <w:rPr/>
        <w:t>für</w:t>
      </w:r>
      <w:r>
        <w:rPr>
          <w:spacing w:val="-3"/>
        </w:rPr>
        <w:t> </w:t>
      </w:r>
      <w:r>
        <w:rPr/>
        <w:t>Schiebetüren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Falttüren</w:t>
      </w:r>
      <w:r>
        <w:rPr>
          <w:spacing w:val="-4"/>
        </w:rPr>
        <w:t> </w:t>
      </w:r>
      <w:r>
        <w:rPr/>
        <w:t>nach</w:t>
      </w:r>
      <w:r>
        <w:rPr>
          <w:spacing w:val="-4"/>
        </w:rPr>
        <w:t> </w:t>
      </w:r>
      <w:r>
        <w:rPr/>
        <w:t>DIN-EN</w:t>
      </w:r>
      <w:r>
        <w:rPr>
          <w:spacing w:val="-4"/>
        </w:rPr>
        <w:t> </w:t>
      </w:r>
      <w:r>
        <w:rPr/>
        <w:t>1527 – Dauer der Funktionsfähigkeit: Klasse 6 (höchste Klasse = 100’000 Zyklen)</w:t>
      </w:r>
    </w:p>
    <w:p>
      <w:pPr>
        <w:pStyle w:val="BodyText"/>
        <w:spacing w:before="4"/>
      </w:pPr>
    </w:p>
    <w:p>
      <w:pPr>
        <w:pStyle w:val="BodyText"/>
        <w:ind w:left="2461"/>
      </w:pPr>
      <w:r>
        <w:rPr/>
        <w:t>Möbelschlösser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-beschläge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Rollenbeschläge</w:t>
      </w:r>
      <w:r>
        <w:rPr>
          <w:spacing w:val="-4"/>
        </w:rPr>
        <w:t> </w:t>
      </w:r>
      <w:r>
        <w:rPr/>
        <w:t>für</w:t>
      </w:r>
      <w:r>
        <w:rPr>
          <w:spacing w:val="-3"/>
        </w:rPr>
        <w:t> </w:t>
      </w:r>
      <w:r>
        <w:rPr/>
        <w:t>Schiebetüren</w:t>
      </w:r>
      <w:r>
        <w:rPr>
          <w:spacing w:val="-4"/>
        </w:rPr>
        <w:t> </w:t>
      </w:r>
      <w:r>
        <w:rPr/>
        <w:t>nach</w:t>
      </w:r>
      <w:r>
        <w:rPr>
          <w:spacing w:val="-4"/>
        </w:rPr>
        <w:t> </w:t>
      </w:r>
      <w:r>
        <w:rPr/>
        <w:t>DIN</w:t>
      </w:r>
      <w:r>
        <w:rPr>
          <w:spacing w:val="-4"/>
        </w:rPr>
        <w:t> </w:t>
      </w:r>
      <w:r>
        <w:rPr>
          <w:spacing w:val="-2"/>
        </w:rPr>
        <w:t>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6" w:after="0"/>
        <w:ind w:left="2617" w:right="0" w:hanging="157"/>
        <w:jc w:val="left"/>
        <w:rPr>
          <w:sz w:val="20"/>
        </w:rPr>
      </w:pPr>
      <w:r>
        <w:rPr>
          <w:spacing w:val="-2"/>
          <w:sz w:val="20"/>
        </w:rPr>
        <w:t>Anschlagsicherheit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6" w:after="0"/>
        <w:ind w:left="2617" w:right="0" w:hanging="157"/>
        <w:jc w:val="left"/>
        <w:rPr>
          <w:sz w:val="20"/>
        </w:rPr>
      </w:pPr>
      <w:r>
        <w:rPr>
          <w:spacing w:val="-2"/>
          <w:sz w:val="20"/>
        </w:rPr>
        <w:t>Herausfallsicherheit</w:t>
      </w: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BodyText"/>
        <w:tabs>
          <w:tab w:pos="2461" w:val="left" w:leader="none"/>
        </w:tabs>
        <w:spacing w:line="244" w:lineRule="auto"/>
        <w:ind w:left="2461" w:right="20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Für die einwandfreie Funktion der von Hawa gelieferten Produkte und für die Haltbarkeit sämtlicher</w:t>
      </w:r>
      <w:r>
        <w:rPr>
          <w:spacing w:val="-4"/>
        </w:rPr>
        <w:t> </w:t>
      </w:r>
      <w:r>
        <w:rPr/>
        <w:t>Teile</w:t>
      </w:r>
      <w:r>
        <w:rPr>
          <w:spacing w:val="-4"/>
        </w:rPr>
        <w:t> </w:t>
      </w:r>
      <w:r>
        <w:rPr/>
        <w:t>mit</w:t>
      </w:r>
      <w:r>
        <w:rPr>
          <w:spacing w:val="-5"/>
        </w:rPr>
        <w:t> </w:t>
      </w:r>
      <w:r>
        <w:rPr/>
        <w:t>Ausnahme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Verschleissteilen</w:t>
      </w:r>
      <w:r>
        <w:rPr>
          <w:spacing w:val="-5"/>
        </w:rPr>
        <w:t> </w:t>
      </w:r>
      <w:r>
        <w:rPr/>
        <w:t>leistet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Gewähr</w:t>
      </w:r>
      <w:r>
        <w:rPr>
          <w:spacing w:val="-4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Dauer</w:t>
      </w:r>
      <w:r>
        <w:rPr>
          <w:spacing w:val="-4"/>
        </w:rPr>
        <w:t> </w:t>
      </w:r>
      <w:r>
        <w:rPr/>
        <w:t>von 2 Jahren ab Gefahrenübergang.</w:t>
      </w:r>
    </w:p>
    <w:p>
      <w:pPr>
        <w:spacing w:after="0" w:line="244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640"/>
          <w:pgNumType w:start="1"/>
        </w:sectPr>
      </w:pPr>
    </w:p>
    <w:p>
      <w:pPr>
        <w:pStyle w:val="BodyText"/>
        <w:spacing w:before="4"/>
        <w:rPr>
          <w:sz w:val="11"/>
        </w:rPr>
      </w:pPr>
    </w:p>
    <w:p>
      <w:pPr>
        <w:tabs>
          <w:tab w:pos="2461" w:val="left" w:leader="none"/>
        </w:tabs>
        <w:spacing w:line="252" w:lineRule="auto" w:before="52"/>
        <w:ind w:left="2461" w:right="882" w:hanging="2349"/>
        <w:jc w:val="left"/>
        <w:rPr>
          <w:sz w:val="19"/>
        </w:rPr>
      </w:pPr>
      <w:r>
        <w:rPr>
          <w:b/>
          <w:spacing w:val="-2"/>
          <w:w w:val="105"/>
          <w:position w:val="1"/>
          <w:sz w:val="20"/>
        </w:rPr>
        <w:t>Produktausführung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Hawa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Porta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300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H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bestehend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aus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Laufschiene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(Stahl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oder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Aluminium),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Laufwerk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mit Kugellagerrollen, Stopper mit Gummipuffer, Tragflansch, Bodenführung</w:t>
      </w:r>
    </w:p>
    <w:p>
      <w:pPr>
        <w:pStyle w:val="BodyText"/>
        <w:spacing w:before="3"/>
      </w:pPr>
    </w:p>
    <w:p>
      <w:pPr>
        <w:spacing w:before="0"/>
        <w:ind w:left="2461" w:right="0" w:firstLine="0"/>
        <w:jc w:val="left"/>
        <w:rPr>
          <w:sz w:val="19"/>
        </w:rPr>
      </w:pPr>
      <w:r>
        <w:rPr>
          <w:spacing w:val="-2"/>
          <w:w w:val="105"/>
          <w:sz w:val="19"/>
        </w:rPr>
        <w:t>Optional:</w:t>
      </w:r>
    </w:p>
    <w:p>
      <w:pPr>
        <w:spacing w:before="13"/>
        <w:ind w:left="2461" w:right="0" w:firstLine="0"/>
        <w:jc w:val="left"/>
        <w:rPr>
          <w:sz w:val="19"/>
        </w:rPr>
      </w:pPr>
      <w:r>
        <w:rPr>
          <w:sz w:val="19"/>
        </w:rPr>
        <w:t>(….)</w:t>
      </w:r>
      <w:r>
        <w:rPr>
          <w:spacing w:val="18"/>
          <w:sz w:val="19"/>
        </w:rPr>
        <w:t> </w:t>
      </w:r>
      <w:r>
        <w:rPr>
          <w:sz w:val="19"/>
        </w:rPr>
        <w:t>Führungsschiene</w:t>
      </w:r>
      <w:r>
        <w:rPr>
          <w:spacing w:val="21"/>
          <w:sz w:val="19"/>
        </w:rPr>
        <w:t> </w:t>
      </w:r>
      <w:r>
        <w:rPr>
          <w:spacing w:val="-4"/>
          <w:sz w:val="19"/>
        </w:rPr>
        <w:t>Stahl</w:t>
      </w:r>
    </w:p>
    <w:p>
      <w:pPr>
        <w:spacing w:line="254" w:lineRule="auto" w:before="12"/>
        <w:ind w:left="2461" w:right="5264" w:firstLine="0"/>
        <w:jc w:val="left"/>
        <w:rPr>
          <w:sz w:val="19"/>
        </w:rPr>
      </w:pPr>
      <w:r>
        <w:rPr>
          <w:w w:val="105"/>
          <w:sz w:val="19"/>
        </w:rPr>
        <w:t>(….)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Winkel-Set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für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Wandmontage (….) Tragwinkel Bodenführung (….) Schienen-Verbindung</w:t>
      </w:r>
    </w:p>
    <w:p>
      <w:pPr>
        <w:pStyle w:val="BodyText"/>
      </w:pPr>
    </w:p>
    <w:p>
      <w:pPr>
        <w:pStyle w:val="BodyText"/>
      </w:pPr>
    </w:p>
    <w:p>
      <w:pPr>
        <w:tabs>
          <w:tab w:pos="2461" w:val="left" w:leader="none"/>
        </w:tabs>
        <w:spacing w:before="121"/>
        <w:ind w:left="112" w:right="0" w:firstLine="0"/>
        <w:jc w:val="left"/>
        <w:rPr>
          <w:sz w:val="20"/>
        </w:rPr>
      </w:pPr>
      <w:r>
        <w:rPr>
          <w:b/>
          <w:spacing w:val="-2"/>
          <w:position w:val="1"/>
          <w:sz w:val="20"/>
        </w:rPr>
        <w:t>Schnittstellen</w:t>
      </w:r>
      <w:r>
        <w:rPr>
          <w:b/>
          <w:position w:val="1"/>
          <w:sz w:val="20"/>
        </w:rPr>
        <w:tab/>
      </w:r>
      <w:r>
        <w:rPr>
          <w:spacing w:val="-2"/>
          <w:sz w:val="20"/>
        </w:rPr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Geschraubte Befestigung</w:t>
      </w:r>
      <w:r>
        <w:rPr>
          <w:spacing w:val="1"/>
          <w:sz w:val="20"/>
        </w:rPr>
        <w:t> </w:t>
      </w:r>
      <w:r>
        <w:rPr>
          <w:sz w:val="20"/>
        </w:rPr>
        <w:t>des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Tragflansch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Führungsnut</w:t>
      </w:r>
      <w:r>
        <w:rPr>
          <w:spacing w:val="-7"/>
          <w:sz w:val="20"/>
        </w:rPr>
        <w:t> </w:t>
      </w:r>
      <w:r>
        <w:rPr>
          <w:sz w:val="20"/>
        </w:rPr>
        <w:t>(H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B)</w:t>
      </w:r>
      <w:r>
        <w:rPr>
          <w:spacing w:val="-7"/>
          <w:sz w:val="20"/>
        </w:rPr>
        <w:t> </w:t>
      </w:r>
      <w:r>
        <w:rPr>
          <w:sz w:val="20"/>
        </w:rPr>
        <w:t>25</w:t>
      </w:r>
      <w:r>
        <w:rPr>
          <w:spacing w:val="-7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7</w:t>
      </w:r>
      <w:r>
        <w:rPr>
          <w:spacing w:val="-6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(25</w:t>
      </w:r>
      <w:r>
        <w:rPr>
          <w:spacing w:val="-7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25</w:t>
      </w:r>
      <w:r>
        <w:rPr>
          <w:spacing w:val="-6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bei</w:t>
      </w:r>
      <w:r>
        <w:rPr>
          <w:spacing w:val="-8"/>
          <w:sz w:val="20"/>
        </w:rPr>
        <w:t> </w:t>
      </w:r>
      <w:r>
        <w:rPr>
          <w:sz w:val="20"/>
        </w:rPr>
        <w:t>Führungsschiene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Stahl)</w:t>
      </w:r>
    </w:p>
    <w:sectPr>
      <w:pgSz w:w="11910" w:h="16840"/>
      <w:pgMar w:header="401" w:footer="1105" w:top="1960" w:bottom="1300" w:left="4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65.05pt;height:35.2pt;mso-position-horizontal-relative:page;mso-position-vertical-relative:page;z-index:-15854592" type="#_x0000_t202" id="docshape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Hawa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Sliding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Solutions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before="2"/>
                  <w:ind w:left="20"/>
                </w:pPr>
                <w:r>
                  <w:rPr/>
                  <w:t>Untere Fischbachstrasse</w:t>
                </w:r>
                <w:r>
                  <w:rPr>
                    <w:spacing w:val="1"/>
                  </w:rPr>
                  <w:t> </w:t>
                </w:r>
                <w:r>
                  <w:rPr/>
                  <w:t>4,</w:t>
                </w:r>
                <w:r>
                  <w:rPr>
                    <w:spacing w:val="-4"/>
                  </w:rPr>
                  <w:t> </w:t>
                </w:r>
                <w:r>
                  <w:rPr/>
                  <w:t>8932</w:t>
                </w:r>
                <w:r>
                  <w:rPr>
                    <w:spacing w:val="3"/>
                  </w:rPr>
                  <w:t> </w:t>
                </w:r>
                <w:r>
                  <w:rPr/>
                  <w:t>Mettmenstetten, </w:t>
                </w:r>
                <w:r>
                  <w:rPr>
                    <w:spacing w:val="-2"/>
                  </w:rPr>
                  <w:t>Schweiz</w:t>
                </w:r>
              </w:p>
              <w:p>
                <w:pPr>
                  <w:pStyle w:val="BodyText"/>
                  <w:spacing w:before="3"/>
                  <w:ind w:left="20"/>
                </w:pPr>
                <w:r>
                  <w:rPr/>
                  <w:t>Tel.</w:t>
                </w:r>
                <w:r>
                  <w:rPr>
                    <w:spacing w:val="-10"/>
                  </w:rPr>
                  <w:t> </w:t>
                </w:r>
                <w:r>
                  <w:rPr/>
                  <w:t>+41</w:t>
                </w:r>
                <w:r>
                  <w:rPr>
                    <w:spacing w:val="-9"/>
                  </w:rPr>
                  <w:t> </w:t>
                </w:r>
                <w:r>
                  <w:rPr/>
                  <w:t>44</w:t>
                </w:r>
                <w:r>
                  <w:rPr>
                    <w:spacing w:val="-9"/>
                  </w:rPr>
                  <w:t> </w:t>
                </w:r>
                <w:r>
                  <w:rPr/>
                  <w:t>787</w:t>
                </w:r>
                <w:r>
                  <w:rPr>
                    <w:spacing w:val="-9"/>
                  </w:rPr>
                  <w:t> </w:t>
                </w:r>
                <w:r>
                  <w:rPr/>
                  <w:t>17</w:t>
                </w:r>
                <w:r>
                  <w:rPr>
                    <w:spacing w:val="-9"/>
                  </w:rPr>
                  <w:t> </w:t>
                </w:r>
                <w:r>
                  <w:rPr/>
                  <w:t>17,</w:t>
                </w:r>
                <w:r>
                  <w:rPr>
                    <w:spacing w:val="-9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10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4080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0352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0864">
          <wp:simplePos x="0" y="0"/>
          <wp:positionH relativeFrom="page">
            <wp:posOffset>5739255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425781pt;margin-top:68.660667pt;width:33.85pt;height:13.95pt;mso-position-horizontal-relative:page;mso-position-vertical-relative:page;z-index:-15855104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300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10"/>
                    <w:sz w:val="24"/>
                  </w:rPr>
                  <w:t>H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Arial" w:hAnsi="Arial" w:eastAsia="Arial" w:cs="Arial"/>
        <w:b w:val="0"/>
        <w:bCs w:val="0"/>
        <w:i w:val="0"/>
        <w:iCs w:val="0"/>
        <w:w w:val="89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3438" w:hanging="157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4257" w:hanging="157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5076" w:hanging="157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895" w:hanging="157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714" w:hanging="157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7533" w:hanging="157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8352" w:hanging="157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9171" w:hanging="157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Arial" w:hAnsi="Arial" w:eastAsia="Arial" w:cs="Arial"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6"/>
      <w:ind w:left="2617" w:hanging="157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2022-12-15T14:47:56Z</dcterms:created>
  <dcterms:modified xsi:type="dcterms:W3CDTF">2022-12-15T14:47:56Z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2022-12-15T00:00:00Z</vt:filetime>
  </property>
  <property fmtid="{D5CDD505-2E9C-101B-9397-08002B2CF9AE}" pid="5" name="Producer">
    <vt:lpwstr>wPDF4 x64 by WPCubed GmbH</vt:lpwstr>
  </property>
</Properties>
</file>