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8.35pt;mso-position-horizontal-relative:page;mso-position-vertical-relative:page;z-index:-5464" coordorigin="62,1983" coordsize="11783,85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72;height:1384" coordorigin="62,4092" coordsize="11772,1384" path="m3464,4784l2897,4784,62,4784,62,5475,2897,5475,3464,5475,3464,4784m11834,4092l11119,4092,4882,4092,3464,4092,3464,4784,4882,4784,11119,4784,11834,4784,11834,4092e" filled="true" fillcolor="#f4f4f4" stroked="false">
              <v:path arrowok="t"/>
              <v:fill type="solid"/>
            </v:shape>
            <v:shape style="position:absolute;left:2942;top:4811;width:420;height:454" type="#_x0000_t75" stroked="false">
              <v:imagedata r:id="rId9" o:title=""/>
            </v:shape>
            <v:shape style="position:absolute;left:62;top:4783;width:11783;height:1231" coordorigin="62,4784" coordsize="11783,1231" path="m11845,5475l11828,5475,11828,4784,11289,4784,4882,4784,3464,4784,3464,5475,2897,5475,62,5475,62,6014,2897,6014,7615,6014,11289,6014,11845,6014,11845,5475e" filled="true" fillcolor="#f4f4f4" stroked="false">
              <v:path arrowok="t"/>
              <v:fill type="solid"/>
            </v:shape>
            <v:rect style="position:absolute;left:2897;top:5991;width:4718;height:23" filled="true" fillcolor="#dcdcdc" stroked="false">
              <v:fill type="solid"/>
            </v:rect>
            <v:line style="position:absolute" from="2909,6003" to="7604,6003" stroked="true" strokeweight="0pt" strokecolor="#dcdcdc">
              <v:stroke dashstyle="solid"/>
            </v:line>
            <v:rect style="position:absolute;left:7615;top:5991;width:3675;height:23" filled="true" fillcolor="#dcdcdc" stroked="false">
              <v:fill type="solid"/>
            </v:rect>
            <v:line style="position:absolute" from="7626,6003" to="11278,6003" stroked="true" strokeweight="0pt" strokecolor="#dcdcdc">
              <v:stroke dashstyle="solid"/>
            </v:line>
            <v:shape style="position:absolute;left:62;top:6013;width:11783;height:256" coordorigin="62,6014" coordsize="11783,256" path="m11845,6014l11289,6014,7615,6014,2897,6014,62,6014,62,6269,2897,6269,7615,6269,11289,6269,11845,6269,11845,6014e" filled="true" fillcolor="#f4f4f4" stroked="false">
              <v:path arrowok="t"/>
              <v:fill type="solid"/>
            </v:shape>
            <v:rect style="position:absolute;left:2897;top:6246;width:4718;height:23" filled="true" fillcolor="#dcdcdc" stroked="false">
              <v:fill type="solid"/>
            </v:rect>
            <v:line style="position:absolute" from="2909,6258" to="7604,6258" stroked="true" strokeweight="0pt" strokecolor="#dcdcdc">
              <v:stroke dashstyle="solid"/>
            </v:line>
            <v:rect style="position:absolute;left:7615;top:6246;width:3675;height:23" filled="true" fillcolor="#dcdcdc" stroked="false">
              <v:fill type="solid"/>
            </v:rect>
            <v:line style="position:absolute" from="7626,6258" to="11278,6258" stroked="true" strokeweight="0pt" strokecolor="#dcdcdc">
              <v:stroke dashstyle="solid"/>
            </v:line>
            <v:shape style="position:absolute;left:62;top:6269;width:11783;height:256" coordorigin="62,6269" coordsize="11783,256" path="m11845,6269l11289,6269,7615,6269,2897,6269,62,6269,62,6524,2897,6524,7615,6524,11289,6524,11845,6524,11845,6269e" filled="true" fillcolor="#f4f4f4" stroked="false">
              <v:path arrowok="t"/>
              <v:fill type="solid"/>
            </v:shape>
            <v:rect style="position:absolute;left:2897;top:6501;width:4718;height:23" filled="true" fillcolor="#dcdcdc" stroked="false">
              <v:fill type="solid"/>
            </v:rect>
            <v:line style="position:absolute" from="2909,6513" to="7604,6513" stroked="true" strokeweight="0pt" strokecolor="#dcdcdc">
              <v:stroke dashstyle="solid"/>
            </v:line>
            <v:rect style="position:absolute;left:7615;top:6501;width:3675;height:23" filled="true" fillcolor="#dcdcdc" stroked="false">
              <v:fill type="solid"/>
            </v:rect>
            <v:line style="position:absolute" from="7626,6513" to="11278,6513" stroked="true" strokeweight="0pt" strokecolor="#dcdcdc">
              <v:stroke dashstyle="solid"/>
            </v:line>
            <v:shape style="position:absolute;left:62;top:6524;width:11783;height:256" coordorigin="62,6524" coordsize="11783,256" path="m11845,6524l11289,6524,7615,6524,2897,6524,62,6524,62,6779,2897,6779,7615,6779,11289,6779,11845,6779,11845,6524e" filled="true" fillcolor="#f4f4f4" stroked="false">
              <v:path arrowok="t"/>
              <v:fill type="solid"/>
            </v:shape>
            <v:rect style="position:absolute;left:2897;top:6756;width:4718;height:23" filled="true" fillcolor="#dcdcdc" stroked="false">
              <v:fill type="solid"/>
            </v:rect>
            <v:line style="position:absolute" from="2909,6768" to="7604,6768" stroked="true" strokeweight="0pt" strokecolor="#dcdcdc">
              <v:stroke dashstyle="solid"/>
            </v:line>
            <v:rect style="position:absolute;left:7615;top:6756;width:3675;height:23" filled="true" fillcolor="#dcdcdc" stroked="false">
              <v:fill type="solid"/>
            </v:rect>
            <v:line style="position:absolute" from="7626,6768" to="11278,6768" stroked="true" strokeweight="0pt" strokecolor="#dcdcdc">
              <v:stroke dashstyle="solid"/>
            </v:line>
            <v:shape style="position:absolute;left:62;top:6779;width:11783;height:256" coordorigin="62,6779" coordsize="11783,256" path="m11845,6779l11289,6779,7615,6779,2897,6779,62,6779,62,7034,2897,7034,7615,7034,11289,7034,11845,7034,11845,6779e" filled="true" fillcolor="#f4f4f4" stroked="false">
              <v:path arrowok="t"/>
              <v:fill type="solid"/>
            </v:shape>
            <v:rect style="position:absolute;left:2897;top:7011;width:4718;height:23" filled="true" fillcolor="#dcdcdc" stroked="false">
              <v:fill type="solid"/>
            </v:rect>
            <v:line style="position:absolute" from="2909,7023" to="7604,7023" stroked="true" strokeweight="0pt" strokecolor="#dcdcdc">
              <v:stroke dashstyle="solid"/>
            </v:line>
            <v:rect style="position:absolute;left:7615;top:7011;width:3675;height:23" filled="true" fillcolor="#dcdcdc" stroked="false">
              <v:fill type="solid"/>
            </v:rect>
            <v:line style="position:absolute" from="7626,7023" to="11278,7023" stroked="true" strokeweight="0pt" strokecolor="#dcdcdc">
              <v:stroke dashstyle="solid"/>
            </v:line>
            <v:shape style="position:absolute;left:62;top:7034;width:11783;height:256" coordorigin="62,7034" coordsize="11783,256" path="m11845,7034l11289,7034,7615,7034,2897,7034,62,7034,62,7290,2897,7290,7615,7290,11289,7290,11845,7290,11845,7034e" filled="true" fillcolor="#f4f4f4" stroked="false">
              <v:path arrowok="t"/>
              <v:fill type="solid"/>
            </v:shape>
            <v:rect style="position:absolute;left:2897;top:7266;width:4718;height:23" filled="true" fillcolor="#dcdcdc" stroked="false">
              <v:fill type="solid"/>
            </v:rect>
            <v:line style="position:absolute" from="2909,7278" to="7604,7278" stroked="true" strokeweight="0pt" strokecolor="#dcdcdc">
              <v:stroke dashstyle="solid"/>
            </v:line>
            <v:rect style="position:absolute;left:7615;top:7266;width:3675;height:23" filled="true" fillcolor="#dcdcdc" stroked="false">
              <v:fill type="solid"/>
            </v:rect>
            <v:line style="position:absolute" from="7626,7278" to="11278,7278" stroked="true" strokeweight="0pt" strokecolor="#dcdcdc">
              <v:stroke dashstyle="solid"/>
            </v:line>
            <v:shape style="position:absolute;left:62;top:7289;width:11783;height:256" coordorigin="62,7290" coordsize="11783,256" path="m11845,7290l11289,7290,7615,7290,2897,7290,62,7290,62,7545,2897,7545,7615,7545,11289,7545,11845,7545,11845,7290e" filled="true" fillcolor="#f4f4f4" stroked="false">
              <v:path arrowok="t"/>
              <v:fill type="solid"/>
            </v:shape>
            <v:rect style="position:absolute;left:2897;top:7522;width:4718;height:23" filled="true" fillcolor="#dcdcdc" stroked="false">
              <v:fill type="solid"/>
            </v:rect>
            <v:line style="position:absolute" from="2909,7533" to="7604,7533" stroked="true" strokeweight="0pt" strokecolor="#dcdcdc">
              <v:stroke dashstyle="solid"/>
            </v:line>
            <v:rect style="position:absolute;left:7615;top:7522;width:3675;height:23" filled="true" fillcolor="#dcdcdc" stroked="false">
              <v:fill type="solid"/>
            </v:rect>
            <v:line style="position:absolute" from="7626,7533" to="11278,7533" stroked="true" strokeweight="0pt" strokecolor="#dcdcdc">
              <v:stroke dashstyle="solid"/>
            </v:line>
            <v:shape style="position:absolute;left:62;top:7544;width:11783;height:256" coordorigin="62,7545" coordsize="11783,256" path="m11845,7545l11289,7545,7615,7545,2897,7545,62,7545,62,7800,2897,7800,7615,7800,11289,7800,11845,7800,11845,7545e" filled="true" fillcolor="#f4f4f4" stroked="false">
              <v:path arrowok="t"/>
              <v:fill type="solid"/>
            </v:shape>
            <v:rect style="position:absolute;left:2897;top:7777;width:4718;height:23" filled="true" fillcolor="#dcdcdc" stroked="false">
              <v:fill type="solid"/>
            </v:rect>
            <v:line style="position:absolute" from="2909,7789" to="7604,7789" stroked="true" strokeweight="0pt" strokecolor="#dcdcdc">
              <v:stroke dashstyle="solid"/>
            </v:line>
            <v:rect style="position:absolute;left:7615;top:7777;width:3675;height:23" filled="true" fillcolor="#dcdcdc" stroked="false">
              <v:fill type="solid"/>
            </v:rect>
            <v:line style="position:absolute" from="7626,7789" to="11278,7789" stroked="true" strokeweight="0pt" strokecolor="#dcdcdc">
              <v:stroke dashstyle="solid"/>
            </v:line>
            <v:shape style="position:absolute;left:62;top:7799;width:11783;height:511" coordorigin="62,7800" coordsize="11783,511" path="m11845,7800l11289,7800,7615,7800,2897,7800,62,7800,62,8310,2897,8310,7615,8310,11289,8310,11845,8310,11845,7800e" filled="true" fillcolor="#f4f4f4" stroked="false">
              <v:path arrowok="t"/>
              <v:fill type="solid"/>
            </v:shape>
            <v:rect style="position:absolute;left:2897;top:8287;width:4718;height:23" filled="true" fillcolor="#dcdcdc" stroked="false">
              <v:fill type="solid"/>
            </v:rect>
            <v:line style="position:absolute" from="2909,8299" to="7604,8299" stroked="true" strokeweight="0pt" strokecolor="#dcdcdc">
              <v:stroke dashstyle="solid"/>
            </v:line>
            <v:rect style="position:absolute;left:7615;top:8287;width:3675;height:23" filled="true" fillcolor="#dcdcdc" stroked="false">
              <v:fill type="solid"/>
            </v:rect>
            <v:line style="position:absolute" from="7626,8299" to="11278,8299" stroked="true" strokeweight="0pt" strokecolor="#dcdcdc">
              <v:stroke dashstyle="solid"/>
            </v:line>
            <v:shape style="position:absolute;left:62;top:8310;width:11783;height:539" coordorigin="62,8310" coordsize="11783,539" path="m11845,8310l11289,8310,7615,8310,2897,8310,62,8310,62,8849,2897,8849,7615,8849,11289,8849,11845,8849,11845,8310e" filled="true" fillcolor="#f4f4f4" stroked="false">
              <v:path arrowok="t"/>
              <v:fill type="solid"/>
            </v:shape>
            <v:rect style="position:absolute;left:2897;top:8826;width:4718;height:23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256" coordorigin="62,8849" coordsize="11783,256" path="m11845,8849l11289,8849,7615,8849,2897,8849,62,8849,62,9104,2897,9104,7615,9104,11289,9104,11845,9104,11845,8849e" filled="true" fillcolor="#f4f4f4" stroked="false">
              <v:path arrowok="t"/>
              <v:fill type="solid"/>
            </v:shape>
            <v:rect style="position:absolute;left:2897;top:9081;width:4718;height:23" filled="true" fillcolor="#dcdcdc" stroked="false">
              <v:fill type="solid"/>
            </v:rect>
            <v:line style="position:absolute" from="2909,9093" to="7604,9093" stroked="true" strokeweight="0pt" strokecolor="#dcdcdc">
              <v:stroke dashstyle="solid"/>
            </v:line>
            <v:rect style="position:absolute;left:7615;top:9081;width:3675;height:23" filled="true" fillcolor="#dcdcdc" stroked="false">
              <v:fill type="solid"/>
            </v:rect>
            <v:line style="position:absolute" from="7626,9093" to="11278,9093" stroked="true" strokeweight="0pt" strokecolor="#dcdcdc">
              <v:stroke dashstyle="solid"/>
            </v:line>
            <v:shape style="position:absolute;left:62;top:9103;width:11783;height:794" coordorigin="62,9104" coordsize="11783,794" path="m11845,9104l11289,9104,7615,9104,2897,9104,62,9104,62,9643,62,9898,2897,9898,7615,9898,11289,9898,11845,9898,11845,9643,11845,9104e" filled="true" fillcolor="#f4f4f4" stroked="false">
              <v:path arrowok="t"/>
              <v:fill type="solid"/>
            </v:shape>
            <v:line style="position:absolute" from="7626,9886" to="11278,9886" stroked="true" strokeweight="0pt" strokecolor="#dcdcdc">
              <v:stroke dashstyle="solid"/>
            </v:line>
            <v:shape style="position:absolute;left:62;top:9897;width:11783;height:256" coordorigin="62,9898" coordsize="11783,256" path="m11845,9898l11289,9898,7615,9898,2897,9898,62,9898,62,10153,2897,10153,7615,10153,11289,10153,11845,10153,11845,9898e" filled="true" fillcolor="#f4f4f4" stroked="false">
              <v:path arrowok="t"/>
              <v:fill type="solid"/>
            </v:shape>
            <v:rect style="position:absolute;left:2897;top:10130;width:4718;height:23" filled="true" fillcolor="#dcdcdc" stroked="false">
              <v:fill type="solid"/>
            </v:rect>
            <v:line style="position:absolute" from="2909,10141" to="7604,10141" stroked="true" strokeweight="0pt" strokecolor="#dcdcdc">
              <v:stroke dashstyle="solid"/>
            </v:line>
            <v:rect style="position:absolute;left:7615;top:10130;width:3675;height:23" filled="true" fillcolor="#dcdcdc" stroked="false">
              <v:fill type="solid"/>
            </v:rect>
            <v:line style="position:absolute" from="7626,10141" to="11278,10141" stroked="true" strokeweight="0pt" strokecolor="#dcdcdc">
              <v:stroke dashstyle="solid"/>
            </v:line>
            <v:rect style="position:absolute;left:62;top:10152;width:11772;height:397" filled="true" fillcolor="#f4f4f4" stroked="false">
              <v:fill type="solid"/>
            </v:rect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423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Beschlag für oben laufende Holztüren bis 60 kg, mit aufgesetzter Laufschiene. Optional mit Dämpfeinzug. Wandmontage.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Flexibilität</w:t>
        <w:tab/>
      </w:r>
      <w:r>
        <w:rPr>
          <w:position w:val="1"/>
          <w:sz w:val="20"/>
        </w:rPr>
        <w:t>Wandmontage mit integrierter Clip-Verblendung </w:t>
      </w:r>
      <w:r>
        <w:rPr>
          <w:spacing w:val="-3"/>
          <w:position w:val="1"/>
          <w:sz w:val="20"/>
        </w:rPr>
        <w:t>in </w:t>
      </w:r>
      <w:r>
        <w:rPr>
          <w:position w:val="1"/>
          <w:sz w:val="20"/>
        </w:rPr>
        <w:t>Holz oder</w:t>
      </w:r>
    </w:p>
    <w:p>
      <w:pPr>
        <w:pStyle w:val="BodyText"/>
        <w:spacing w:line="230" w:lineRule="exact"/>
        <w:ind w:left="4421"/>
      </w:pPr>
      <w:r>
        <w:rPr/>
        <w:t>Aluminium mit formschönen Endstücken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408" w:hanging="1418"/>
      </w:pPr>
      <w:r>
        <w:rPr>
          <w:b/>
        </w:rPr>
        <w:t>Produktivität</w:t>
        <w:tab/>
      </w:r>
      <w:r>
        <w:rPr>
          <w:position w:val="1"/>
        </w:rPr>
        <w:t>Nachträgliche Montage aller Komponenten durch dafür</w:t>
      </w:r>
      <w:r>
        <w:rPr>
          <w:spacing w:val="-26"/>
          <w:position w:val="1"/>
        </w:rPr>
        <w:t> </w:t>
      </w:r>
      <w:r>
        <w:rPr>
          <w:position w:val="1"/>
        </w:rPr>
        <w:t>vorgesehene </w:t>
      </w:r>
      <w:r>
        <w:rPr/>
        <w:t>Montageöffnung ohne Verschmutzung während</w:t>
      </w:r>
      <w:r>
        <w:rPr>
          <w:spacing w:val="-9"/>
        </w:rPr>
        <w:t> </w:t>
      </w:r>
      <w:r>
        <w:rPr/>
        <w:t>Bautätigkeit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4"/>
        <w:ind w:left="4421" w:right="257" w:hanging="1418"/>
      </w:pPr>
      <w:r>
        <w:rPr>
          <w:b/>
        </w:rPr>
        <w:t>Ästhetik</w:t>
        <w:tab/>
      </w:r>
      <w:r>
        <w:rPr>
          <w:position w:val="1"/>
        </w:rPr>
        <w:t>Als Designvariante «Black Edition» für besondere attraktive Optik</w:t>
      </w:r>
      <w:r>
        <w:rPr>
          <w:spacing w:val="-39"/>
          <w:position w:val="1"/>
        </w:rPr>
        <w:t> </w:t>
      </w:r>
      <w:r>
        <w:rPr>
          <w:position w:val="1"/>
        </w:rPr>
        <w:t>auch </w:t>
      </w:r>
      <w:r>
        <w:rPr/>
        <w:t>in Schwarz</w:t>
      </w:r>
      <w:r>
        <w:rPr>
          <w:spacing w:val="-7"/>
        </w:rPr>
        <w:t> </w:t>
      </w:r>
      <w:r>
        <w:rPr/>
        <w:t>erhältlich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Türgewicht</w:t>
        <w:tab/>
        <w:t>60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Türdicke</w:t>
        <w:tab/>
        <w:t>30–45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"/>
        </w:rPr>
        <w:t> </w:t>
      </w:r>
      <w:r>
        <w:rPr/>
        <w:t>Türhöhe</w:t>
        <w:tab/>
        <w:t>2700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1"/>
        </w:rPr>
        <w:t> </w:t>
      </w:r>
      <w:r>
        <w:rPr/>
        <w:t>Türbreite</w:t>
        <w:tab/>
        <w:t>1600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4"/>
        </w:rPr>
        <w:t> </w:t>
      </w:r>
      <w:r>
        <w:rPr/>
        <w:t>Öffnungsbreite</w:t>
        <w:tab/>
        <w:t>1535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+/– 3</w:t>
      </w:r>
      <w:r>
        <w:rPr>
          <w:spacing w:val="-5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Dämpfung</w:t>
        <w:tab/>
        <w:t>Ja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Material</w:t>
      </w:r>
      <w:r>
        <w:rPr>
          <w:spacing w:val="-6"/>
        </w:rPr>
        <w:t> </w:t>
      </w:r>
      <w:r>
        <w:rPr/>
        <w:t>Türe</w:t>
        <w:tab/>
        <w:t>Holz</w:t>
      </w:r>
    </w:p>
    <w:p>
      <w:pPr>
        <w:pStyle w:val="BodyText"/>
        <w:tabs>
          <w:tab w:pos="7154" w:val="left" w:leader="none"/>
        </w:tabs>
        <w:spacing w:line="134" w:lineRule="auto" w:before="100"/>
        <w:ind w:left="7154" w:right="924" w:hanging="4718"/>
      </w:pPr>
      <w:r>
        <w:rPr/>
        <w:t>Oberflächenfarbe</w:t>
      </w:r>
      <w:r>
        <w:rPr>
          <w:spacing w:val="-2"/>
        </w:rPr>
        <w:t> </w:t>
      </w:r>
      <w:r>
        <w:rPr/>
        <w:t>sichtbare</w:t>
      </w:r>
      <w:r>
        <w:rPr>
          <w:spacing w:val="-2"/>
        </w:rPr>
        <w:t> </w:t>
      </w:r>
      <w:r>
        <w:rPr/>
        <w:t>Profile</w:t>
        <w:tab/>
      </w:r>
      <w:r>
        <w:rPr>
          <w:position w:val="13"/>
        </w:rPr>
        <w:t>A</w:t>
      </w:r>
      <w:r>
        <w:rPr>
          <w:position w:val="12"/>
        </w:rPr>
        <w:t>luminium / Aluminium eloxiert</w:t>
      </w:r>
      <w:r>
        <w:rPr>
          <w:spacing w:val="-25"/>
          <w:position w:val="12"/>
        </w:rPr>
        <w:t> </w:t>
      </w:r>
      <w:r>
        <w:rPr>
          <w:position w:val="12"/>
        </w:rPr>
        <w:t>/ </w:t>
      </w:r>
      <w:r>
        <w:rPr/>
        <w:t>Aluminium schwarz</w:t>
      </w:r>
      <w:r>
        <w:rPr>
          <w:spacing w:val="-2"/>
        </w:rPr>
        <w:t> </w:t>
      </w:r>
      <w:r>
        <w:rPr/>
        <w:t>eloxiert</w:t>
      </w:r>
    </w:p>
    <w:p>
      <w:pPr>
        <w:pStyle w:val="BodyText"/>
        <w:spacing w:before="4"/>
        <w:rPr>
          <w:sz w:val="23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Systemausführungen</w:t>
        <w:tab/>
      </w:r>
      <w:r>
        <w:rPr>
          <w:position w:val="1"/>
          <w:sz w:val="20"/>
        </w:rPr>
        <w:t>Wandmontage</w:t>
        <w:tab/>
        <w:t>Ja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Obenlaufend</w:t>
        <w:tab/>
        <w:t>Ja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438" w:val="left" w:leader="none"/>
        </w:tabs>
        <w:spacing w:before="101"/>
        <w:ind w:left="112"/>
      </w:pPr>
      <w:r>
        <w:rPr>
          <w:b/>
          <w:position w:val="1"/>
        </w:rPr>
        <w:t>Durchgeführte</w:t>
      </w:r>
      <w:r>
        <w:rPr>
          <w:b/>
          <w:spacing w:val="-6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EN</w:t>
      </w:r>
      <w:r>
        <w:rPr>
          <w:spacing w:val="-2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spacing w:before="1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6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500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60</w:t>
      </w:r>
      <w:r>
        <w:rPr>
          <w:spacing w:val="-5"/>
        </w:rPr>
        <w:t> </w:t>
      </w:r>
      <w:r>
        <w:rPr/>
        <w:t>HC</w:t>
      </w:r>
      <w:r>
        <w:rPr>
          <w:spacing w:val="-4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Laufschiene,</w:t>
      </w:r>
      <w:r>
        <w:rPr>
          <w:spacing w:val="-5"/>
        </w:rPr>
        <w:t> </w:t>
      </w:r>
      <w:r>
        <w:rPr/>
        <w:t>Laufwerk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Gleitlagerrollen,</w:t>
      </w:r>
      <w:r>
        <w:rPr>
          <w:spacing w:val="-5"/>
        </w:rPr>
        <w:t> </w:t>
      </w:r>
      <w:r>
        <w:rPr/>
        <w:t>Stopper</w:t>
      </w:r>
      <w:r>
        <w:rPr>
          <w:spacing w:val="-4"/>
        </w:rPr>
        <w:t> </w:t>
      </w:r>
      <w:r>
        <w:rPr/>
        <w:t>mit Rückhaltefeder, Tragflansch, Bodenführung mit</w:t>
      </w:r>
      <w:r>
        <w:rPr>
          <w:spacing w:val="-5"/>
        </w:rPr>
        <w:t> </w:t>
      </w:r>
      <w:r>
        <w:rPr/>
        <w:t>Rolle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ind w:left="2461" w:right="3171"/>
      </w:pPr>
      <w:r>
        <w:rPr/>
        <w:t>(….) Laufschine mit Distanzerweiterung +9 mm/+20 mm (….) Clip-Blende zu Laufschiene</w:t>
      </w:r>
    </w:p>
    <w:p>
      <w:pPr>
        <w:pStyle w:val="BodyText"/>
        <w:spacing w:line="237" w:lineRule="auto"/>
        <w:ind w:left="2461" w:right="4171"/>
      </w:pPr>
      <w:r>
        <w:rPr/>
        <w:t>(….) Clip-Teil für Holz- und Aluminiumblende (….) Dämpfeinzug Hawa Porta 60</w:t>
      </w:r>
    </w:p>
    <w:p>
      <w:pPr>
        <w:pStyle w:val="BodyText"/>
        <w:spacing w:line="233" w:lineRule="exact"/>
        <w:ind w:left="2461"/>
      </w:pPr>
      <w:r>
        <w:rPr/>
        <w:t>(….) Abdeckkappe zu Montageöffnung</w:t>
      </w:r>
    </w:p>
    <w:p>
      <w:pPr>
        <w:pStyle w:val="BodyText"/>
        <w:spacing w:line="233" w:lineRule="exact"/>
        <w:ind w:left="2461"/>
      </w:pPr>
      <w:r>
        <w:rPr/>
        <w:t>(….) Bodenführungs-Set für Wandmontage mit Rolle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36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99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015">
          <wp:simplePos x="0" y="0"/>
          <wp:positionH relativeFrom="page">
            <wp:posOffset>5710450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5.550pt;height:13.95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2022-12-15T14:20:00Z</dcterms:created>
  <dcterms:modified xsi:type="dcterms:W3CDTF">2022-12-15T14:20:00Z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