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986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7736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Vereinfachte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Planung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und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Bestellung,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da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alle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Elemente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gleich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breit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und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gleichen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Ausschnitten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versehen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sind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338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Gerades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abgerundetes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Glashalteprofil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verschiedene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Designansprüche</w:t>
                    </w:r>
                  </w:p>
                </w:txbxContent>
              </v:textbox>
              <w10:wrap type="none"/>
            </v:shape>
            <v:shape style="position:absolute;left:572;top:5112;width:4188;height:1985" type="#_x0000_t202" id="docshape56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112;width:1125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10–12.7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6310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3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437;width:4922;height:709" type="#_x0000_t202" id="docshape58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437;width:229;height:70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6;width:4947;height:454" type="#_x0000_t202" id="docshape61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mittel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halb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1998 – Dauer der Funktionsfähigkeit: Klasse 6 (höchste Klasse = 100’000 Zyklen)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Möbelschlösser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-beschläge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Rollenbeschläge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nach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68859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42" w:lineRule="auto" w:before="54"/>
        <w:ind w:left="2461" w:right="213" w:hanging="2349"/>
        <w:jc w:val="both"/>
      </w:pPr>
      <w:r>
        <w:rPr>
          <w:b/>
          <w:position w:val="1"/>
        </w:rPr>
        <w:t>Produktausführung</w:t>
      </w:r>
      <w:r>
        <w:rPr>
          <w:b/>
          <w:spacing w:val="80"/>
          <w:position w:val="1"/>
        </w:rPr>
        <w:t>   </w:t>
      </w:r>
      <w:r>
        <w:rPr/>
        <w:t>Hawa</w:t>
      </w:r>
      <w:r>
        <w:rPr>
          <w:spacing w:val="-4"/>
        </w:rPr>
        <w:t> </w:t>
      </w:r>
      <w:r>
        <w:rPr/>
        <w:t>Variofold</w:t>
      </w:r>
      <w:r>
        <w:rPr>
          <w:spacing w:val="-5"/>
        </w:rPr>
        <w:t> </w:t>
      </w:r>
      <w:r>
        <w:rPr/>
        <w:t>80</w:t>
      </w:r>
      <w:r>
        <w:rPr>
          <w:spacing w:val="-5"/>
        </w:rPr>
        <w:t> </w:t>
      </w:r>
      <w:r>
        <w:rPr/>
        <w:t>GV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3.0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Laufwerk mit</w:t>
      </w:r>
      <w:r>
        <w:rPr>
          <w:spacing w:val="-2"/>
        </w:rPr>
        <w:t> </w:t>
      </w:r>
      <w:r>
        <w:rPr/>
        <w:t>Kugellagerrollen,</w:t>
      </w:r>
      <w:r>
        <w:rPr>
          <w:spacing w:val="-2"/>
        </w:rPr>
        <w:t> </w:t>
      </w:r>
      <w:r>
        <w:rPr/>
        <w:t>Aufhängeschlitten,</w:t>
      </w:r>
      <w:r>
        <w:rPr>
          <w:spacing w:val="-2"/>
        </w:rPr>
        <w:t> </w:t>
      </w:r>
      <w:r>
        <w:rPr/>
        <w:t>Trag-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Glashalteprofil,</w:t>
      </w:r>
      <w:r>
        <w:rPr>
          <w:spacing w:val="-2"/>
        </w:rPr>
        <w:t> </w:t>
      </w:r>
      <w:r>
        <w:rPr/>
        <w:t>Drehlager</w:t>
      </w:r>
      <w:r>
        <w:rPr>
          <w:spacing w:val="-1"/>
        </w:rPr>
        <w:t> </w:t>
      </w:r>
      <w:r>
        <w:rPr/>
        <w:t>oben,</w:t>
      </w:r>
      <w:r>
        <w:rPr>
          <w:spacing w:val="-2"/>
        </w:rPr>
        <w:t> </w:t>
      </w:r>
      <w:r>
        <w:rPr/>
        <w:t>Mithehmer unten,</w:t>
      </w:r>
      <w:r>
        <w:rPr>
          <w:spacing w:val="-2"/>
        </w:rPr>
        <w:t> </w:t>
      </w:r>
      <w:r>
        <w:rPr/>
        <w:t>Schaniere,</w:t>
      </w:r>
      <w:r>
        <w:rPr>
          <w:spacing w:val="-2"/>
        </w:rPr>
        <w:t> </w:t>
      </w:r>
      <w:r>
        <w:rPr/>
        <w:t>Endanschlag,</w:t>
      </w:r>
      <w:r>
        <w:rPr>
          <w:spacing w:val="-2"/>
        </w:rPr>
        <w:t> </w:t>
      </w:r>
      <w:r>
        <w:rPr/>
        <w:t>Falt-und</w:t>
      </w:r>
      <w:r>
        <w:rPr>
          <w:spacing w:val="-2"/>
        </w:rPr>
        <w:t> </w:t>
      </w:r>
      <w:r>
        <w:rPr/>
        <w:t>Drehtürschnäpper,</w:t>
      </w:r>
      <w:r>
        <w:rPr>
          <w:spacing w:val="-2"/>
        </w:rPr>
        <w:t> </w:t>
      </w:r>
      <w:r>
        <w:rPr/>
        <w:t>Bolzenriegelschloss,</w:t>
      </w:r>
      <w:r>
        <w:rPr>
          <w:spacing w:val="-2"/>
        </w:rPr>
        <w:t> </w:t>
      </w:r>
      <w:r>
        <w:rPr/>
        <w:t>Bodenhülse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3"/>
        <w:ind w:left="2461" w:right="6620"/>
      </w:pPr>
      <w:r>
        <w:rPr>
          <w:spacing w:val="-2"/>
        </w:rPr>
        <w:t>(….)</w:t>
      </w:r>
      <w:r>
        <w:rPr>
          <w:spacing w:val="-12"/>
        </w:rPr>
        <w:t> </w:t>
      </w:r>
      <w:r>
        <w:rPr>
          <w:spacing w:val="-2"/>
        </w:rPr>
        <w:t>Führungsschiene </w:t>
      </w:r>
      <w:r>
        <w:rPr/>
        <w:t>(….) Kurbelstange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2461" w:val="left" w:leader="none"/>
        </w:tabs>
        <w:spacing w:before="123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> Glashalter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Formschlüssige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Glasbefestigung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Trag-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Glashalteprofil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4998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4947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49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5505220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5049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w w:val="8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2023-01-13T07:59:49Z</dcterms:created>
  <dcterms:modified xsi:type="dcterms:W3CDTF">2023-01-13T07:59:49Z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2023-01-13T00:00:00Z</vt:filetime>
  </property>
  <property fmtid="{D5CDD505-2E9C-101B-9397-08002B2CF9AE}" pid="5" name="Producer">
    <vt:lpwstr>wPDF4 x64 by WPCubed GmbH</vt:lpwstr>
  </property>
</Properties>
</file>