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3.118575pt;margin-top:99.139702pt;width:589.15pt;height:459pt;mso-position-horizontal-relative:page;mso-position-vertical-relative:page;z-index:-5944" coordorigin="62,1983" coordsize="11783,9180">
            <v:shape style="position:absolute;left:62;top:1982;width:11766;height:1616" coordorigin="62,1983" coordsize="11766,1616" path="m11828,1983l11289,1983,62,1983,62,3599,11289,3599,11828,3599,11828,1983e" filled="true" fillcolor="#f4f4f4" stroked="false">
              <v:path arrowok="t"/>
              <v:fill type="solid"/>
            </v:shape>
            <v:line style="position:absolute" from="62,3613" to="573,3613" stroked="true" strokeweight="1.417425pt" strokecolor="#f4f4f4">
              <v:stroke dashstyle="solid"/>
            </v:line>
            <v:line style="position:absolute" from="573,3613" to="1253,3613" stroked="true" strokeweight="1.417425pt" strokecolor="#ff0000">
              <v:stroke dashstyle="solid"/>
            </v:line>
            <v:line style="position:absolute" from="1253,3613" to="11845,3613" stroked="true" strokeweight="1.417425pt" strokecolor="#f4f4f4">
              <v:stroke dashstyle="solid"/>
            </v:line>
            <v:shape style="position:absolute;left:62;top:3627;width:3403;height:749" coordorigin="62,3627" coordsize="3403,749" path="m3464,3627l2897,3627,62,3627,62,4375,2897,4375,3464,4375,3464,3627e" filled="true" fillcolor="#f4f4f4" stroked="false">
              <v:path arrowok="t"/>
              <v:fill type="solid"/>
            </v:shape>
            <v:shape style="position:absolute;left:2942;top:3683;width:420;height:454" type="#_x0000_t75" stroked="false">
              <v:imagedata r:id="rId7" o:title=""/>
            </v:shape>
            <v:shape style="position:absolute;left:62;top:3627;width:11766;height:1259" coordorigin="62,3627" coordsize="11766,1259" path="m3464,4375l2897,4375,62,4375,62,4886,2897,4886,3464,4886,3464,4375m11828,3627l11289,3627,4882,3627,3464,3627,3464,4375,4882,4375,11289,4375,11828,4375,11828,3627e" filled="true" fillcolor="#f4f4f4" stroked="false">
              <v:path arrowok="t"/>
              <v:fill type="solid"/>
            </v:shape>
            <v:shape style="position:absolute;left:2942;top:4432;width:420;height:454" type="#_x0000_t75" stroked="false">
              <v:imagedata r:id="rId8" o:title=""/>
            </v:shape>
            <v:shape style="position:absolute;left:62;top:4375;width:11772;height:1202" coordorigin="62,4375" coordsize="11772,1202" path="m3464,4886l2897,4886,62,4886,62,5577,2897,5577,3464,5577,3464,4886m11834,4375l11119,4375,4882,4375,3464,4375,3464,4886,4882,4886,11119,4886,11834,4886,11834,4375e" filled="true" fillcolor="#f4f4f4" stroked="false">
              <v:path arrowok="t"/>
              <v:fill type="solid"/>
            </v:shape>
            <v:shape style="position:absolute;left:2914;top:4914;width:482;height:454" type="#_x0000_t75" stroked="false">
              <v:imagedata r:id="rId9" o:title=""/>
            </v:shape>
            <v:shape style="position:absolute;left:62;top:4885;width:11783;height:1231" coordorigin="62,4886" coordsize="11783,1231" path="m11845,5577l11828,5577,11828,4886,11289,4886,4882,4886,3464,4886,3464,5577,2897,5577,62,5577,62,6116,2897,6116,7615,6116,11289,6116,11845,6116,11845,5577e" filled="true" fillcolor="#f4f4f4" stroked="false">
              <v:path arrowok="t"/>
              <v:fill type="solid"/>
            </v:shape>
            <v:rect style="position:absolute;left:2897;top:6093;width:4718;height:23" filled="true" fillcolor="#dcdcdc" stroked="false">
              <v:fill type="solid"/>
            </v:rect>
            <v:line style="position:absolute" from="2909,6105" to="7604,6105" stroked="true" strokeweight="0pt" strokecolor="#dcdcdc">
              <v:stroke dashstyle="solid"/>
            </v:line>
            <v:rect style="position:absolute;left:7615;top:6093;width:3675;height:23" filled="true" fillcolor="#dcdcdc" stroked="false">
              <v:fill type="solid"/>
            </v:rect>
            <v:line style="position:absolute" from="7626,6105" to="11278,6105" stroked="true" strokeweight="0pt" strokecolor="#dcdcdc">
              <v:stroke dashstyle="solid"/>
            </v:line>
            <v:shape style="position:absolute;left:62;top:6116;width:11783;height:256" coordorigin="62,6116" coordsize="11783,256" path="m11845,6116l11289,6116,7615,6116,2897,6116,62,6116,62,6371,2897,6371,7615,6371,11289,6371,11845,6371,11845,6116e" filled="true" fillcolor="#f4f4f4" stroked="false">
              <v:path arrowok="t"/>
              <v:fill type="solid"/>
            </v:shape>
            <v:rect style="position:absolute;left:2897;top:6348;width:4718;height:23" filled="true" fillcolor="#dcdcdc" stroked="false">
              <v:fill type="solid"/>
            </v:rect>
            <v:line style="position:absolute" from="2909,6360" to="7604,6360" stroked="true" strokeweight="0pt" strokecolor="#dcdcdc">
              <v:stroke dashstyle="solid"/>
            </v:line>
            <v:rect style="position:absolute;left:7615;top:6348;width:3675;height:23" filled="true" fillcolor="#dcdcdc" stroked="false">
              <v:fill type="solid"/>
            </v:rect>
            <v:line style="position:absolute" from="7626,6360" to="11278,6360" stroked="true" strokeweight="0pt" strokecolor="#dcdcdc">
              <v:stroke dashstyle="solid"/>
            </v:line>
            <v:shape style="position:absolute;left:62;top:6371;width:11783;height:256" coordorigin="62,6371" coordsize="11783,256" path="m11845,6371l11289,6371,7615,6371,2897,6371,62,6371,62,6626,2897,6626,7615,6626,11289,6626,11845,6626,11845,6371e" filled="true" fillcolor="#f4f4f4" stroked="false">
              <v:path arrowok="t"/>
              <v:fill type="solid"/>
            </v:shape>
            <v:rect style="position:absolute;left:2897;top:6603;width:4718;height:23" filled="true" fillcolor="#dcdcdc" stroked="false">
              <v:fill type="solid"/>
            </v:rect>
            <v:line style="position:absolute" from="2909,6615" to="7604,6615" stroked="true" strokeweight="0pt" strokecolor="#dcdcdc">
              <v:stroke dashstyle="solid"/>
            </v:line>
            <v:rect style="position:absolute;left:7615;top:6603;width:3675;height:23" filled="true" fillcolor="#dcdcdc" stroked="false">
              <v:fill type="solid"/>
            </v:rect>
            <v:line style="position:absolute" from="7626,6615" to="11278,6615" stroked="true" strokeweight="0pt" strokecolor="#dcdcdc">
              <v:stroke dashstyle="solid"/>
            </v:line>
            <v:shape style="position:absolute;left:62;top:6626;width:11783;height:256" coordorigin="62,6626" coordsize="11783,256" path="m11845,6626l11289,6626,7615,6626,2897,6626,62,6626,62,6881,2897,6881,7615,6881,11289,6881,11845,6881,11845,6626e" filled="true" fillcolor="#f4f4f4" stroked="false">
              <v:path arrowok="t"/>
              <v:fill type="solid"/>
            </v:shape>
            <v:rect style="position:absolute;left:2897;top:6858;width:4718;height:23" filled="true" fillcolor="#dcdcdc" stroked="false">
              <v:fill type="solid"/>
            </v:rect>
            <v:line style="position:absolute" from="2909,6870" to="7604,6870" stroked="true" strokeweight="0pt" strokecolor="#dcdcdc">
              <v:stroke dashstyle="solid"/>
            </v:line>
            <v:rect style="position:absolute;left:7615;top:6858;width:3675;height:23" filled="true" fillcolor="#dcdcdc" stroked="false">
              <v:fill type="solid"/>
            </v:rect>
            <v:line style="position:absolute" from="7626,6870" to="11278,6870" stroked="true" strokeweight="0pt" strokecolor="#dcdcdc">
              <v:stroke dashstyle="solid"/>
            </v:line>
            <v:shape style="position:absolute;left:62;top:6881;width:11783;height:256" coordorigin="62,6881" coordsize="11783,256" path="m11845,6881l11289,6881,7615,6881,2897,6881,62,6881,62,7137,2897,7137,7615,7137,11289,7137,11845,7137,11845,6881e" filled="true" fillcolor="#f4f4f4" stroked="false">
              <v:path arrowok="t"/>
              <v:fill type="solid"/>
            </v:shape>
            <v:rect style="position:absolute;left:2897;top:7113;width:4718;height:23" filled="true" fillcolor="#dcdcdc" stroked="false">
              <v:fill type="solid"/>
            </v:rect>
            <v:line style="position:absolute" from="2909,7125" to="7604,7125" stroked="true" strokeweight="0pt" strokecolor="#dcdcdc">
              <v:stroke dashstyle="solid"/>
            </v:line>
            <v:rect style="position:absolute;left:7615;top:7113;width:3675;height:23" filled="true" fillcolor="#dcdcdc" stroked="false">
              <v:fill type="solid"/>
            </v:rect>
            <v:line style="position:absolute" from="7626,7125" to="11278,7125" stroked="true" strokeweight="0pt" strokecolor="#dcdcdc">
              <v:stroke dashstyle="solid"/>
            </v:line>
            <v:shape style="position:absolute;left:62;top:7136;width:11783;height:256" coordorigin="62,7137" coordsize="11783,256" path="m11845,7137l11289,7137,7615,7137,2897,7137,62,7137,62,7392,2897,7392,7615,7392,11289,7392,11845,7392,11845,7137e" filled="true" fillcolor="#f4f4f4" stroked="false">
              <v:path arrowok="t"/>
              <v:fill type="solid"/>
            </v:shape>
            <v:rect style="position:absolute;left:2897;top:7369;width:4718;height:23" filled="true" fillcolor="#dcdcdc" stroked="false">
              <v:fill type="solid"/>
            </v:rect>
            <v:line style="position:absolute" from="2909,7380" to="7604,7380" stroked="true" strokeweight="0pt" strokecolor="#dcdcdc">
              <v:stroke dashstyle="solid"/>
            </v:line>
            <v:rect style="position:absolute;left:7615;top:7369;width:3675;height:23" filled="true" fillcolor="#dcdcdc" stroked="false">
              <v:fill type="solid"/>
            </v:rect>
            <v:line style="position:absolute" from="7626,7380" to="11278,7380" stroked="true" strokeweight="0pt" strokecolor="#dcdcdc">
              <v:stroke dashstyle="solid"/>
            </v:line>
            <v:shape style="position:absolute;left:62;top:7391;width:11783;height:256" coordorigin="62,7392" coordsize="11783,256" path="m11845,7392l11289,7392,7615,7392,2897,7392,62,7392,62,7647,2897,7647,7615,7647,11289,7647,11845,7647,11845,7392e" filled="true" fillcolor="#f4f4f4" stroked="false">
              <v:path arrowok="t"/>
              <v:fill type="solid"/>
            </v:shape>
            <v:rect style="position:absolute;left:2897;top:7624;width:4718;height:23" filled="true" fillcolor="#dcdcdc" stroked="false">
              <v:fill type="solid"/>
            </v:rect>
            <v:line style="position:absolute" from="2909,7635" to="7604,7635" stroked="true" strokeweight="0pt" strokecolor="#dcdcdc">
              <v:stroke dashstyle="solid"/>
            </v:line>
            <v:rect style="position:absolute;left:7615;top:7624;width:3675;height:23" filled="true" fillcolor="#dcdcdc" stroked="false">
              <v:fill type="solid"/>
            </v:rect>
            <v:line style="position:absolute" from="7626,7635" to="11278,7635" stroked="true" strokeweight="0pt" strokecolor="#dcdcdc">
              <v:stroke dashstyle="solid"/>
            </v:line>
            <v:shape style="position:absolute;left:62;top:7646;width:11783;height:256" coordorigin="62,7647" coordsize="11783,256" path="m11845,7647l11289,7647,7615,7647,2897,7647,62,7647,62,7902,2897,7902,7615,7902,11289,7902,11845,7902,11845,7647e" filled="true" fillcolor="#f4f4f4" stroked="false">
              <v:path arrowok="t"/>
              <v:fill type="solid"/>
            </v:shape>
            <v:rect style="position:absolute;left:2897;top:7879;width:4718;height:23" filled="true" fillcolor="#dcdcdc" stroked="false">
              <v:fill type="solid"/>
            </v:rect>
            <v:line style="position:absolute" from="2909,7891" to="7604,7891" stroked="true" strokeweight="0pt" strokecolor="#dcdcdc">
              <v:stroke dashstyle="solid"/>
            </v:line>
            <v:rect style="position:absolute;left:7615;top:7879;width:3675;height:23" filled="true" fillcolor="#dcdcdc" stroked="false">
              <v:fill type="solid"/>
            </v:rect>
            <v:line style="position:absolute" from="7626,7891" to="11278,7891" stroked="true" strokeweight="0pt" strokecolor="#dcdcdc">
              <v:stroke dashstyle="solid"/>
            </v:line>
            <v:shape style="position:absolute;left:62;top:7901;width:11783;height:256" coordorigin="62,7902" coordsize="11783,256" path="m11845,7902l11289,7902,7615,7902,2897,7902,62,7902,62,8157,2897,8157,7615,8157,11289,8157,11845,8157,11845,7902e" filled="true" fillcolor="#f4f4f4" stroked="false">
              <v:path arrowok="t"/>
              <v:fill type="solid"/>
            </v:shape>
            <v:rect style="position:absolute;left:2897;top:8134;width:4718;height:23" filled="true" fillcolor="#dcdcdc" stroked="false">
              <v:fill type="solid"/>
            </v:rect>
            <v:line style="position:absolute" from="2909,8146" to="7604,8146" stroked="true" strokeweight="0pt" strokecolor="#dcdcdc">
              <v:stroke dashstyle="solid"/>
            </v:line>
            <v:rect style="position:absolute;left:7615;top:8134;width:3675;height:23" filled="true" fillcolor="#dcdcdc" stroked="false">
              <v:fill type="solid"/>
            </v:rect>
            <v:line style="position:absolute" from="7626,8146" to="11278,8146" stroked="true" strokeweight="0pt" strokecolor="#dcdcdc">
              <v:stroke dashstyle="solid"/>
            </v:line>
            <v:shape style="position:absolute;left:62;top:8157;width:11783;height:511" coordorigin="62,8157" coordsize="11783,511" path="m11845,8157l11289,8157,7615,8157,2897,8157,62,8157,62,8667,2897,8667,7615,8667,11289,8667,11845,8667,11845,8157e" filled="true" fillcolor="#f4f4f4" stroked="false">
              <v:path arrowok="t"/>
              <v:fill type="solid"/>
            </v:shape>
            <v:rect style="position:absolute;left:2897;top:8644;width:4718;height:23" filled="true" fillcolor="#dcdcdc" stroked="false">
              <v:fill type="solid"/>
            </v:rect>
            <v:line style="position:absolute" from="2909,8656" to="7604,8656" stroked="true" strokeweight="0pt" strokecolor="#dcdcdc">
              <v:stroke dashstyle="solid"/>
            </v:line>
            <v:rect style="position:absolute;left:7615;top:8644;width:3675;height:23" filled="true" fillcolor="#dcdcdc" stroked="false">
              <v:fill type="solid"/>
            </v:rect>
            <v:line style="position:absolute" from="7626,8656" to="11278,8656" stroked="true" strokeweight="0pt" strokecolor="#dcdcdc">
              <v:stroke dashstyle="solid"/>
            </v:line>
            <v:shape style="position:absolute;left:62;top:8667;width:11783;height:539" coordorigin="62,8667" coordsize="11783,539" path="m11845,8667l11289,8667,7615,8667,2897,8667,62,8667,62,9206,2897,9206,7615,9206,11289,9206,11845,9206,11845,8667e" filled="true" fillcolor="#f4f4f4" stroked="false">
              <v:path arrowok="t"/>
              <v:fill type="solid"/>
            </v:shape>
            <v:rect style="position:absolute;left:2897;top:9183;width:4718;height:23" filled="true" fillcolor="#dcdcdc" stroked="false">
              <v:fill type="solid"/>
            </v:rect>
            <v:line style="position:absolute" from="2909,9195" to="7604,9195" stroked="true" strokeweight="0pt" strokecolor="#dcdcdc">
              <v:stroke dashstyle="solid"/>
            </v:line>
            <v:rect style="position:absolute;left:7615;top:9183;width:3675;height:23" filled="true" fillcolor="#dcdcdc" stroked="false">
              <v:fill type="solid"/>
            </v:rect>
            <v:line style="position:absolute" from="7626,9195" to="11278,9195" stroked="true" strokeweight="0pt" strokecolor="#dcdcdc">
              <v:stroke dashstyle="solid"/>
            </v:line>
            <v:shape style="position:absolute;left:62;top:9206;width:11783;height:256" coordorigin="62,9206" coordsize="11783,256" path="m11845,9206l11289,9206,7615,9206,2897,9206,62,9206,62,9461,2897,9461,7615,9461,11289,9461,11845,9461,11845,9206e" filled="true" fillcolor="#f4f4f4" stroked="false">
              <v:path arrowok="t"/>
              <v:fill type="solid"/>
            </v:shape>
            <v:rect style="position:absolute;left:2897;top:9438;width:4718;height:23" filled="true" fillcolor="#dcdcdc" stroked="false">
              <v:fill type="solid"/>
            </v:rect>
            <v:line style="position:absolute" from="2909,9450" to="7604,9450" stroked="true" strokeweight="0pt" strokecolor="#dcdcdc">
              <v:stroke dashstyle="solid"/>
            </v:line>
            <v:rect style="position:absolute;left:7615;top:9438;width:3675;height:23" filled="true" fillcolor="#dcdcdc" stroked="false">
              <v:fill type="solid"/>
            </v:rect>
            <v:line style="position:absolute" from="7626,9450" to="11278,9450" stroked="true" strokeweight="0pt" strokecolor="#dcdcdc">
              <v:stroke dashstyle="solid"/>
            </v:line>
            <v:shape style="position:absolute;left:62;top:9461;width:11783;height:256" coordorigin="62,9461" coordsize="11783,256" path="m11845,9461l11289,9461,7615,9461,2897,9461,62,9461,62,9716,2897,9716,7615,9716,11289,9716,11845,9716,11845,9461e" filled="true" fillcolor="#f4f4f4" stroked="false">
              <v:path arrowok="t"/>
              <v:fill type="solid"/>
            </v:shape>
            <v:rect style="position:absolute;left:2897;top:9693;width:4718;height:23" filled="true" fillcolor="#dcdcdc" stroked="false">
              <v:fill type="solid"/>
            </v:rect>
            <v:line style="position:absolute" from="2909,9705" to="7604,9705" stroked="true" strokeweight="0pt" strokecolor="#dcdcdc">
              <v:stroke dashstyle="solid"/>
            </v:line>
            <v:rect style="position:absolute;left:7615;top:9693;width:3675;height:23" filled="true" fillcolor="#dcdcdc" stroked="false">
              <v:fill type="solid"/>
            </v:rect>
            <v:line style="position:absolute" from="7626,9705" to="11278,9705" stroked="true" strokeweight="0pt" strokecolor="#dcdcdc">
              <v:stroke dashstyle="solid"/>
            </v:line>
            <v:shape style="position:absolute;left:62;top:9716;width:11783;height:539" coordorigin="62,9716" coordsize="11783,539" path="m11845,9716l11289,9716,7615,9716,2897,9716,62,9716,62,10255,2897,10255,7615,10255,11289,10255,11845,10255,11845,9716e" filled="true" fillcolor="#f4f4f4" stroked="false">
              <v:path arrowok="t"/>
              <v:fill type="solid"/>
            </v:shape>
            <v:rect style="position:absolute;left:2897;top:10232;width:4718;height:23" filled="true" fillcolor="#dcdcdc" stroked="false">
              <v:fill type="solid"/>
            </v:rect>
            <v:line style="position:absolute" from="2909,10244" to="7604,10244" stroked="true" strokeweight="0pt" strokecolor="#dcdcdc">
              <v:stroke dashstyle="solid"/>
            </v:line>
            <v:rect style="position:absolute;left:7615;top:10232;width:3675;height:23" filled="true" fillcolor="#dcdcdc" stroked="false">
              <v:fill type="solid"/>
            </v:rect>
            <v:line style="position:absolute" from="7626,10244" to="11278,10244" stroked="true" strokeweight="0pt" strokecolor="#dcdcdc">
              <v:stroke dashstyle="solid"/>
            </v:line>
            <v:shape style="position:absolute;left:62;top:10254;width:11783;height:256" coordorigin="62,10255" coordsize="11783,256" path="m11845,10255l11289,10255,7615,10255,2897,10255,62,10255,62,10510,2897,10510,7615,10510,11289,10510,11845,10510,11845,10255e" filled="true" fillcolor="#f4f4f4" stroked="false">
              <v:path arrowok="t"/>
              <v:fill type="solid"/>
            </v:shape>
            <v:rect style="position:absolute;left:2897;top:10487;width:4718;height:23" filled="true" fillcolor="#dcdcdc" stroked="false">
              <v:fill type="solid"/>
            </v:rect>
            <v:line style="position:absolute" from="2909,10499" to="7604,10499" stroked="true" strokeweight="0pt" strokecolor="#dcdcdc">
              <v:stroke dashstyle="solid"/>
            </v:line>
            <v:rect style="position:absolute;left:7615;top:10487;width:3675;height:23" filled="true" fillcolor="#dcdcdc" stroked="false">
              <v:fill type="solid"/>
            </v:rect>
            <v:line style="position:absolute" from="7626,10499" to="11278,10499" stroked="true" strokeweight="0pt" strokecolor="#dcdcdc">
              <v:stroke dashstyle="solid"/>
            </v:line>
            <v:shape style="position:absolute;left:62;top:10510;width:11783;height:653" coordorigin="62,10510" coordsize="11783,653" path="m11845,10510l11289,10510,7615,10510,2897,10510,62,10510,62,10765,62,11162,11834,11162,11834,10765,11845,10765,11845,10510e" filled="true" fillcolor="#f4f4f4" stroked="false">
              <v:path arrowok="t"/>
              <v:fill type="solid"/>
            </v:shape>
            <w10:wrap type="none"/>
          </v:group>
        </w:pict>
      </w:r>
    </w:p>
    <w:p>
      <w:pPr>
        <w:pStyle w:val="BodyText"/>
        <w:spacing w:before="7"/>
        <w:rPr>
          <w:rFonts w:ascii="Times New Roman"/>
          <w:sz w:val="17"/>
        </w:rPr>
      </w:pPr>
    </w:p>
    <w:p>
      <w:pPr>
        <w:spacing w:line="237" w:lineRule="auto" w:before="39"/>
        <w:ind w:left="112" w:right="39" w:firstLine="0"/>
        <w:jc w:val="left"/>
        <w:rPr>
          <w:b/>
          <w:sz w:val="24"/>
        </w:rPr>
      </w:pPr>
      <w:r>
        <w:rPr>
          <w:b/>
          <w:color w:val="003C78"/>
          <w:sz w:val="24"/>
        </w:rPr>
        <w:t>Fitting for top-running glass doors up to 100 kg (220 lbs.), with surface mounted running track or running track flush with the ceiling. Optionally with soft and self closing mechanism. Ceiling mounting. Minimal installation height. Wall pocket solution.</w:t>
      </w:r>
    </w:p>
    <w:p>
      <w:pPr>
        <w:pStyle w:val="BodyText"/>
        <w:rPr>
          <w:b/>
        </w:rPr>
      </w:pPr>
    </w:p>
    <w:p>
      <w:pPr>
        <w:pStyle w:val="BodyText"/>
        <w:rPr>
          <w:b/>
        </w:rPr>
      </w:pPr>
    </w:p>
    <w:p>
      <w:pPr>
        <w:pStyle w:val="BodyText"/>
        <w:spacing w:before="8"/>
        <w:rPr>
          <w:b/>
          <w:sz w:val="18"/>
        </w:rPr>
      </w:pPr>
    </w:p>
    <w:p>
      <w:pPr>
        <w:tabs>
          <w:tab w:pos="3004" w:val="left" w:leader="none"/>
          <w:tab w:pos="4421" w:val="left" w:leader="none"/>
        </w:tabs>
        <w:spacing w:line="240" w:lineRule="exact" w:before="0"/>
        <w:ind w:left="112" w:right="0" w:firstLine="0"/>
        <w:jc w:val="left"/>
        <w:rPr>
          <w:sz w:val="20"/>
        </w:rPr>
      </w:pPr>
      <w:r>
        <w:rPr>
          <w:b/>
          <w:sz w:val="20"/>
        </w:rPr>
        <w:t>Product-Highlights</w:t>
        <w:tab/>
        <w:t>Comfort</w:t>
        <w:tab/>
      </w:r>
      <w:r>
        <w:rPr>
          <w:position w:val="1"/>
          <w:sz w:val="20"/>
        </w:rPr>
        <w:t>Accessible opening and soft and self closing at both sides from</w:t>
      </w:r>
      <w:r>
        <w:rPr>
          <w:spacing w:val="-29"/>
          <w:position w:val="1"/>
          <w:sz w:val="20"/>
        </w:rPr>
        <w:t> </w:t>
      </w:r>
      <w:r>
        <w:rPr>
          <w:position w:val="1"/>
          <w:sz w:val="20"/>
        </w:rPr>
        <w:t>door</w:t>
      </w:r>
    </w:p>
    <w:p>
      <w:pPr>
        <w:pStyle w:val="BodyText"/>
        <w:spacing w:line="230" w:lineRule="exact"/>
        <w:ind w:left="4395" w:right="3988"/>
        <w:jc w:val="center"/>
      </w:pPr>
      <w:r>
        <w:rPr/>
        <w:t>widths of 800 mm (2' 7 1/2")</w:t>
      </w:r>
    </w:p>
    <w:p>
      <w:pPr>
        <w:pStyle w:val="BodyText"/>
        <w:spacing w:before="10"/>
        <w:rPr>
          <w:sz w:val="19"/>
        </w:rPr>
      </w:pPr>
    </w:p>
    <w:p>
      <w:pPr>
        <w:pStyle w:val="BodyText"/>
        <w:tabs>
          <w:tab w:pos="4421" w:val="left" w:leader="none"/>
        </w:tabs>
        <w:spacing w:before="47"/>
        <w:ind w:left="3004"/>
      </w:pPr>
      <w:r>
        <w:rPr>
          <w:b/>
        </w:rPr>
        <w:t>Productivity</w:t>
        <w:tab/>
      </w:r>
      <w:r>
        <w:rPr>
          <w:position w:val="1"/>
        </w:rPr>
        <w:t>Door can be installed in pocket after construction </w:t>
      </w:r>
      <w:r>
        <w:rPr>
          <w:spacing w:val="-3"/>
          <w:position w:val="1"/>
        </w:rPr>
        <w:t>is</w:t>
      </w:r>
      <w:r>
        <w:rPr>
          <w:spacing w:val="-5"/>
          <w:position w:val="1"/>
        </w:rPr>
        <w:t> </w:t>
      </w:r>
      <w:r>
        <w:rPr>
          <w:position w:val="1"/>
        </w:rPr>
        <w:t>complete</w:t>
      </w:r>
    </w:p>
    <w:p>
      <w:pPr>
        <w:pStyle w:val="BodyText"/>
        <w:spacing w:before="10"/>
        <w:rPr>
          <w:sz w:val="14"/>
        </w:rPr>
      </w:pPr>
    </w:p>
    <w:p>
      <w:pPr>
        <w:pStyle w:val="BodyText"/>
        <w:tabs>
          <w:tab w:pos="4421" w:val="left" w:leader="none"/>
        </w:tabs>
        <w:spacing w:line="232" w:lineRule="auto" w:before="99"/>
        <w:ind w:left="4421" w:right="609" w:hanging="1418"/>
      </w:pPr>
      <w:r>
        <w:rPr>
          <w:b/>
        </w:rPr>
        <w:t>Security</w:t>
        <w:tab/>
      </w:r>
      <w:r>
        <w:rPr>
          <w:position w:val="1"/>
        </w:rPr>
        <w:t>Performance guarantee: 15 years for private use and 7 years for </w:t>
      </w:r>
      <w:r>
        <w:rPr/>
        <w:t>commercial use </w:t>
      </w:r>
      <w:r>
        <w:rPr>
          <w:spacing w:val="2"/>
        </w:rPr>
        <w:t>on </w:t>
      </w:r>
      <w:r>
        <w:rPr/>
        <w:t>incomparably low opening forces of max. 22</w:t>
      </w:r>
      <w:r>
        <w:rPr>
          <w:spacing w:val="-32"/>
        </w:rPr>
        <w:t> </w:t>
      </w:r>
      <w:r>
        <w:rPr/>
        <w:t>N</w:t>
      </w:r>
    </w:p>
    <w:p>
      <w:pPr>
        <w:pStyle w:val="BodyText"/>
        <w:spacing w:before="7"/>
        <w:rPr>
          <w:sz w:val="25"/>
        </w:rPr>
      </w:pPr>
    </w:p>
    <w:p>
      <w:pPr>
        <w:tabs>
          <w:tab w:pos="2437" w:val="left" w:leader="none"/>
          <w:tab w:pos="7154" w:val="left" w:leader="none"/>
        </w:tabs>
        <w:spacing w:before="100"/>
        <w:ind w:left="112" w:right="0" w:firstLine="0"/>
        <w:jc w:val="left"/>
        <w:rPr>
          <w:sz w:val="20"/>
        </w:rPr>
      </w:pPr>
      <w:r>
        <w:rPr>
          <w:b/>
          <w:sz w:val="20"/>
        </w:rPr>
        <w:t>Technical</w:t>
      </w:r>
      <w:r>
        <w:rPr>
          <w:b/>
          <w:spacing w:val="-6"/>
          <w:sz w:val="20"/>
        </w:rPr>
        <w:t> </w:t>
      </w:r>
      <w:r>
        <w:rPr>
          <w:b/>
          <w:sz w:val="20"/>
        </w:rPr>
        <w:t>guidelines</w:t>
        <w:tab/>
      </w:r>
      <w:r>
        <w:rPr>
          <w:position w:val="1"/>
          <w:sz w:val="20"/>
        </w:rPr>
        <w:t>Max.</w:t>
      </w:r>
      <w:r>
        <w:rPr>
          <w:spacing w:val="-6"/>
          <w:position w:val="1"/>
          <w:sz w:val="20"/>
        </w:rPr>
        <w:t> </w:t>
      </w:r>
      <w:r>
        <w:rPr>
          <w:position w:val="1"/>
          <w:sz w:val="20"/>
        </w:rPr>
        <w:t>Door</w:t>
      </w:r>
      <w:r>
        <w:rPr>
          <w:spacing w:val="1"/>
          <w:position w:val="1"/>
          <w:sz w:val="20"/>
        </w:rPr>
        <w:t> </w:t>
      </w:r>
      <w:r>
        <w:rPr>
          <w:position w:val="1"/>
          <w:sz w:val="20"/>
        </w:rPr>
        <w:t>weight</w:t>
        <w:tab/>
        <w:t>100 kg (220</w:t>
      </w:r>
      <w:r>
        <w:rPr>
          <w:spacing w:val="-23"/>
          <w:position w:val="1"/>
          <w:sz w:val="20"/>
        </w:rPr>
        <w:t> </w:t>
      </w:r>
      <w:r>
        <w:rPr>
          <w:position w:val="1"/>
          <w:sz w:val="20"/>
        </w:rPr>
        <w:t>lbs.)</w:t>
      </w:r>
    </w:p>
    <w:p>
      <w:pPr>
        <w:pStyle w:val="BodyText"/>
        <w:tabs>
          <w:tab w:pos="7154" w:val="left" w:leader="none"/>
        </w:tabs>
        <w:spacing w:before="10"/>
        <w:ind w:left="2437"/>
      </w:pPr>
      <w:r>
        <w:rPr/>
        <w:t>Door</w:t>
      </w:r>
      <w:r>
        <w:rPr>
          <w:spacing w:val="-2"/>
        </w:rPr>
        <w:t> </w:t>
      </w:r>
      <w:r>
        <w:rPr/>
        <w:t>thickness</w:t>
        <w:tab/>
        <w:t>8–12.7 mm (5/16'' to</w:t>
      </w:r>
      <w:r>
        <w:rPr>
          <w:spacing w:val="-7"/>
        </w:rPr>
        <w:t> </w:t>
      </w:r>
      <w:r>
        <w:rPr/>
        <w:t>1/2'')</w:t>
      </w:r>
    </w:p>
    <w:p>
      <w:pPr>
        <w:pStyle w:val="BodyText"/>
        <w:tabs>
          <w:tab w:pos="7154" w:val="left" w:leader="none"/>
        </w:tabs>
        <w:spacing w:before="22"/>
        <w:ind w:left="2437"/>
      </w:pPr>
      <w:r>
        <w:rPr/>
        <w:t>Max.</w:t>
      </w:r>
      <w:r>
        <w:rPr>
          <w:spacing w:val="-6"/>
        </w:rPr>
        <w:t> </w:t>
      </w:r>
      <w:r>
        <w:rPr/>
        <w:t>Door</w:t>
      </w:r>
      <w:r>
        <w:rPr>
          <w:spacing w:val="1"/>
        </w:rPr>
        <w:t> </w:t>
      </w:r>
      <w:r>
        <w:rPr/>
        <w:t>height</w:t>
        <w:tab/>
        <w:t>4000 mm (13' 1</w:t>
      </w:r>
      <w:r>
        <w:rPr>
          <w:spacing w:val="-3"/>
        </w:rPr>
        <w:t> </w:t>
      </w:r>
      <w:r>
        <w:rPr/>
        <w:t>15/32'')</w:t>
      </w:r>
    </w:p>
    <w:p>
      <w:pPr>
        <w:pStyle w:val="BodyText"/>
        <w:tabs>
          <w:tab w:pos="7154" w:val="left" w:leader="none"/>
        </w:tabs>
        <w:spacing w:before="22"/>
        <w:ind w:left="2437"/>
      </w:pPr>
      <w:r>
        <w:rPr/>
        <w:t>Max.</w:t>
      </w:r>
      <w:r>
        <w:rPr>
          <w:spacing w:val="-7"/>
        </w:rPr>
        <w:t> </w:t>
      </w:r>
      <w:r>
        <w:rPr/>
        <w:t>Door width</w:t>
        <w:tab/>
        <w:t>1500 mm (4' 11</w:t>
      </w:r>
      <w:r>
        <w:rPr>
          <w:spacing w:val="-18"/>
        </w:rPr>
        <w:t> </w:t>
      </w:r>
      <w:r>
        <w:rPr/>
        <w:t>1/16'')</w:t>
      </w:r>
    </w:p>
    <w:p>
      <w:pPr>
        <w:pStyle w:val="BodyText"/>
        <w:tabs>
          <w:tab w:pos="7154" w:val="left" w:leader="none"/>
        </w:tabs>
        <w:spacing w:before="22"/>
        <w:ind w:left="2437"/>
      </w:pPr>
      <w:r>
        <w:rPr/>
        <w:t>Max.</w:t>
      </w:r>
      <w:r>
        <w:rPr>
          <w:spacing w:val="-8"/>
        </w:rPr>
        <w:t> </w:t>
      </w:r>
      <w:r>
        <w:rPr/>
        <w:t>Opening</w:t>
      </w:r>
      <w:r>
        <w:rPr>
          <w:spacing w:val="-4"/>
        </w:rPr>
        <w:t> </w:t>
      </w:r>
      <w:r>
        <w:rPr/>
        <w:t>width</w:t>
        <w:tab/>
        <w:t>1465 mm (4' 9</w:t>
      </w:r>
      <w:r>
        <w:rPr>
          <w:spacing w:val="-18"/>
        </w:rPr>
        <w:t> </w:t>
      </w:r>
      <w:r>
        <w:rPr/>
        <w:t>11/16'')</w:t>
      </w:r>
    </w:p>
    <w:p>
      <w:pPr>
        <w:pStyle w:val="BodyText"/>
        <w:tabs>
          <w:tab w:pos="7154" w:val="left" w:leader="none"/>
        </w:tabs>
        <w:spacing w:before="22"/>
        <w:ind w:left="2437"/>
      </w:pPr>
      <w:r>
        <w:rPr/>
        <w:t>Height</w:t>
      </w:r>
      <w:r>
        <w:rPr>
          <w:spacing w:val="-4"/>
        </w:rPr>
        <w:t> </w:t>
      </w:r>
      <w:r>
        <w:rPr/>
        <w:t>adjustable</w:t>
        <w:tab/>
        <w:t>+/- 3 mm</w:t>
      </w:r>
      <w:r>
        <w:rPr>
          <w:spacing w:val="-4"/>
        </w:rPr>
        <w:t> </w:t>
      </w:r>
      <w:r>
        <w:rPr/>
        <w:t>(1/8'')</w:t>
      </w:r>
    </w:p>
    <w:p>
      <w:pPr>
        <w:pStyle w:val="BodyText"/>
        <w:tabs>
          <w:tab w:pos="7154" w:val="left" w:leader="none"/>
        </w:tabs>
        <w:spacing w:before="22"/>
        <w:ind w:left="2437"/>
      </w:pPr>
      <w:r>
        <w:rPr/>
        <w:t>Soft</w:t>
      </w:r>
      <w:r>
        <w:rPr>
          <w:spacing w:val="-3"/>
        </w:rPr>
        <w:t> </w:t>
      </w:r>
      <w:r>
        <w:rPr/>
        <w:t>close</w:t>
        <w:tab/>
      </w:r>
      <w:r>
        <w:rPr>
          <w:spacing w:val="2"/>
        </w:rPr>
        <w:t>Yes</w:t>
      </w:r>
    </w:p>
    <w:p>
      <w:pPr>
        <w:pStyle w:val="BodyText"/>
        <w:tabs>
          <w:tab w:pos="7154" w:val="left" w:leader="none"/>
        </w:tabs>
        <w:spacing w:line="261" w:lineRule="auto" w:before="22"/>
        <w:ind w:left="2437" w:right="1364"/>
      </w:pPr>
      <w:r>
        <w:rPr/>
        <w:t>Guaranteed opening force</w:t>
      </w:r>
      <w:r>
        <w:rPr>
          <w:spacing w:val="-15"/>
        </w:rPr>
        <w:t> </w:t>
      </w:r>
      <w:r>
        <w:rPr/>
        <w:t>with</w:t>
      </w:r>
      <w:r>
        <w:rPr>
          <w:spacing w:val="-4"/>
        </w:rPr>
        <w:t> </w:t>
      </w:r>
      <w:r>
        <w:rPr/>
        <w:t>damping*</w:t>
        <w:tab/>
        <w:t>Max. 22 N (fully</w:t>
      </w:r>
      <w:r>
        <w:rPr>
          <w:spacing w:val="-19"/>
        </w:rPr>
        <w:t> </w:t>
      </w:r>
      <w:r>
        <w:rPr/>
        <w:t>accessible) Door</w:t>
      </w:r>
      <w:r>
        <w:rPr>
          <w:spacing w:val="-1"/>
        </w:rPr>
        <w:t> </w:t>
      </w:r>
      <w:r>
        <w:rPr/>
        <w:t>material</w:t>
        <w:tab/>
        <w:t>Glass</w:t>
      </w:r>
    </w:p>
    <w:p>
      <w:pPr>
        <w:pStyle w:val="BodyText"/>
        <w:tabs>
          <w:tab w:pos="7154" w:val="left" w:leader="none"/>
        </w:tabs>
        <w:spacing w:line="172" w:lineRule="auto" w:before="21"/>
        <w:ind w:left="7154" w:right="154" w:hanging="4718"/>
      </w:pPr>
      <w:r>
        <w:rPr>
          <w:position w:val="-11"/>
        </w:rPr>
        <w:t>Finish color of</w:t>
      </w:r>
      <w:r>
        <w:rPr>
          <w:spacing w:val="-5"/>
          <w:position w:val="-11"/>
        </w:rPr>
        <w:t> </w:t>
      </w:r>
      <w:r>
        <w:rPr>
          <w:position w:val="-11"/>
        </w:rPr>
        <w:t>visible</w:t>
      </w:r>
      <w:r>
        <w:rPr>
          <w:spacing w:val="-6"/>
          <w:position w:val="-11"/>
        </w:rPr>
        <w:t> </w:t>
      </w:r>
      <w:r>
        <w:rPr>
          <w:position w:val="-11"/>
        </w:rPr>
        <w:t>profiles</w:t>
        <w:tab/>
      </w:r>
      <w:r>
        <w:rPr/>
        <w:t>Aluminum anodized / aluminum</w:t>
      </w:r>
      <w:r>
        <w:rPr>
          <w:spacing w:val="-25"/>
        </w:rPr>
        <w:t> </w:t>
      </w:r>
      <w:r>
        <w:rPr/>
        <w:t>stainless steel</w:t>
      </w:r>
      <w:r>
        <w:rPr>
          <w:spacing w:val="-4"/>
        </w:rPr>
        <w:t> </w:t>
      </w:r>
      <w:r>
        <w:rPr/>
        <w:t>effect</w:t>
      </w:r>
    </w:p>
    <w:p>
      <w:pPr>
        <w:pStyle w:val="BodyText"/>
        <w:spacing w:before="10"/>
        <w:rPr>
          <w:sz w:val="22"/>
        </w:rPr>
      </w:pPr>
    </w:p>
    <w:p>
      <w:pPr>
        <w:tabs>
          <w:tab w:pos="2437" w:val="left" w:leader="none"/>
          <w:tab w:pos="7154" w:val="left" w:leader="none"/>
        </w:tabs>
        <w:spacing w:before="53"/>
        <w:ind w:left="112" w:right="0" w:firstLine="0"/>
        <w:jc w:val="left"/>
        <w:rPr>
          <w:sz w:val="20"/>
        </w:rPr>
      </w:pPr>
      <w:r>
        <w:rPr>
          <w:b/>
          <w:sz w:val="20"/>
        </w:rPr>
        <w:t>System</w:t>
      </w:r>
      <w:r>
        <w:rPr>
          <w:b/>
          <w:spacing w:val="-6"/>
          <w:sz w:val="20"/>
        </w:rPr>
        <w:t> </w:t>
      </w:r>
      <w:r>
        <w:rPr>
          <w:b/>
          <w:sz w:val="20"/>
        </w:rPr>
        <w:t>options</w:t>
        <w:tab/>
      </w:r>
      <w:r>
        <w:rPr>
          <w:position w:val="1"/>
          <w:sz w:val="20"/>
        </w:rPr>
        <w:t>Ceiling</w:t>
      </w:r>
      <w:r>
        <w:rPr>
          <w:spacing w:val="-5"/>
          <w:position w:val="1"/>
          <w:sz w:val="20"/>
        </w:rPr>
        <w:t> </w:t>
      </w:r>
      <w:r>
        <w:rPr>
          <w:position w:val="1"/>
          <w:sz w:val="20"/>
        </w:rPr>
        <w:t>mounting</w:t>
        <w:tab/>
      </w:r>
      <w:r>
        <w:rPr>
          <w:spacing w:val="2"/>
          <w:position w:val="1"/>
          <w:sz w:val="20"/>
        </w:rPr>
        <w:t>Yes</w:t>
      </w:r>
    </w:p>
    <w:p>
      <w:pPr>
        <w:pStyle w:val="BodyText"/>
        <w:tabs>
          <w:tab w:pos="7154" w:val="left" w:leader="none"/>
        </w:tabs>
        <w:spacing w:before="10"/>
        <w:ind w:left="2437"/>
      </w:pPr>
      <w:r>
        <w:rPr/>
        <w:t>Ceiling</w:t>
      </w:r>
      <w:r>
        <w:rPr>
          <w:spacing w:val="-4"/>
        </w:rPr>
        <w:t> </w:t>
      </w:r>
      <w:r>
        <w:rPr/>
        <w:t>mounting</w:t>
      </w:r>
      <w:r>
        <w:rPr>
          <w:spacing w:val="-3"/>
        </w:rPr>
        <w:t> </w:t>
      </w:r>
      <w:r>
        <w:rPr/>
        <w:t>recessed</w:t>
        <w:tab/>
      </w:r>
      <w:r>
        <w:rPr>
          <w:spacing w:val="2"/>
        </w:rPr>
        <w:t>Yes</w:t>
      </w:r>
    </w:p>
    <w:p>
      <w:pPr>
        <w:pStyle w:val="BodyText"/>
        <w:tabs>
          <w:tab w:pos="7154" w:val="left" w:leader="none"/>
        </w:tabs>
        <w:spacing w:before="22"/>
        <w:ind w:left="2437"/>
      </w:pPr>
      <w:r>
        <w:rPr/>
        <w:t>Top-running</w:t>
        <w:tab/>
      </w:r>
      <w:r>
        <w:rPr>
          <w:spacing w:val="2"/>
        </w:rPr>
        <w:t>Yes</w:t>
      </w:r>
    </w:p>
    <w:p>
      <w:pPr>
        <w:pStyle w:val="BodyText"/>
        <w:spacing w:before="9"/>
        <w:rPr>
          <w:sz w:val="21"/>
        </w:rPr>
      </w:pPr>
    </w:p>
    <w:p>
      <w:pPr>
        <w:tabs>
          <w:tab w:pos="2437" w:val="left" w:leader="none"/>
          <w:tab w:pos="7154" w:val="left" w:leader="none"/>
        </w:tabs>
        <w:spacing w:before="53"/>
        <w:ind w:left="112" w:right="0" w:firstLine="0"/>
        <w:jc w:val="left"/>
        <w:rPr>
          <w:sz w:val="20"/>
        </w:rPr>
      </w:pPr>
      <w:r>
        <w:rPr>
          <w:b/>
          <w:sz w:val="20"/>
        </w:rPr>
        <w:t>Application</w:t>
      </w:r>
      <w:r>
        <w:rPr>
          <w:b/>
          <w:spacing w:val="-3"/>
          <w:sz w:val="20"/>
        </w:rPr>
        <w:t> </w:t>
      </w:r>
      <w:r>
        <w:rPr>
          <w:b/>
          <w:sz w:val="20"/>
        </w:rPr>
        <w:t>area</w:t>
        <w:tab/>
      </w:r>
      <w:r>
        <w:rPr>
          <w:position w:val="1"/>
          <w:sz w:val="20"/>
        </w:rPr>
        <w:t>Utilization light /</w:t>
      </w:r>
      <w:r>
        <w:rPr>
          <w:spacing w:val="-14"/>
          <w:position w:val="1"/>
          <w:sz w:val="20"/>
        </w:rPr>
        <w:t> </w:t>
      </w:r>
      <w:r>
        <w:rPr>
          <w:position w:val="1"/>
          <w:sz w:val="20"/>
        </w:rPr>
        <w:t>semi-public</w:t>
      </w:r>
      <w:r>
        <w:rPr>
          <w:spacing w:val="-2"/>
          <w:position w:val="1"/>
          <w:sz w:val="20"/>
        </w:rPr>
        <w:t> </w:t>
      </w:r>
      <w:r>
        <w:rPr>
          <w:position w:val="1"/>
          <w:sz w:val="20"/>
        </w:rPr>
        <w:t>access</w:t>
        <w:tab/>
      </w:r>
      <w:r>
        <w:rPr>
          <w:spacing w:val="2"/>
          <w:position w:val="1"/>
          <w:sz w:val="20"/>
        </w:rPr>
        <w:t>Yes</w:t>
      </w:r>
    </w:p>
    <w:p>
      <w:pPr>
        <w:pStyle w:val="BodyText"/>
        <w:tabs>
          <w:tab w:pos="7154" w:val="left" w:leader="none"/>
        </w:tabs>
        <w:spacing w:before="10"/>
        <w:ind w:left="2437"/>
      </w:pPr>
      <w:r>
        <w:rPr/>
        <w:t>Utilization medium /</w:t>
      </w:r>
      <w:r>
        <w:rPr>
          <w:spacing w:val="-13"/>
        </w:rPr>
        <w:t> </w:t>
      </w:r>
      <w:r>
        <w:rPr/>
        <w:t>semi-public</w:t>
      </w:r>
      <w:r>
        <w:rPr>
          <w:spacing w:val="-3"/>
        </w:rPr>
        <w:t> </w:t>
      </w:r>
      <w:r>
        <w:rPr/>
        <w:t>access</w:t>
        <w:tab/>
      </w:r>
      <w:r>
        <w:rPr>
          <w:spacing w:val="2"/>
        </w:rPr>
        <w:t>Yes</w:t>
      </w:r>
    </w:p>
    <w:p>
      <w:pPr>
        <w:pStyle w:val="BodyText"/>
        <w:tabs>
          <w:tab w:pos="7154" w:val="left" w:leader="none"/>
        </w:tabs>
        <w:spacing w:before="22"/>
        <w:ind w:left="2437"/>
      </w:pPr>
      <w:r>
        <w:rPr/>
        <w:t>Utilization high /</w:t>
      </w:r>
      <w:r>
        <w:rPr>
          <w:spacing w:val="-11"/>
        </w:rPr>
        <w:t> </w:t>
      </w:r>
      <w:r>
        <w:rPr/>
        <w:t>public</w:t>
      </w:r>
      <w:r>
        <w:rPr>
          <w:spacing w:val="-2"/>
        </w:rPr>
        <w:t> </w:t>
      </w:r>
      <w:r>
        <w:rPr/>
        <w:t>access</w:t>
        <w:tab/>
      </w:r>
      <w:r>
        <w:rPr>
          <w:spacing w:val="2"/>
        </w:rPr>
        <w:t>Yes</w:t>
      </w:r>
    </w:p>
    <w:p>
      <w:pPr>
        <w:pStyle w:val="BodyText"/>
      </w:pPr>
    </w:p>
    <w:p>
      <w:pPr>
        <w:pStyle w:val="BodyText"/>
      </w:pPr>
    </w:p>
    <w:p>
      <w:pPr>
        <w:pStyle w:val="BodyText"/>
        <w:spacing w:before="8"/>
        <w:rPr>
          <w:sz w:val="22"/>
        </w:rPr>
      </w:pPr>
    </w:p>
    <w:p>
      <w:pPr>
        <w:pStyle w:val="BodyText"/>
        <w:tabs>
          <w:tab w:pos="2461" w:val="left" w:leader="none"/>
        </w:tabs>
        <w:spacing w:before="82"/>
        <w:ind w:left="112"/>
      </w:pPr>
      <w:r>
        <w:rPr>
          <w:b/>
          <w:position w:val="2"/>
        </w:rPr>
        <w:t>Tests</w:t>
        <w:tab/>
      </w:r>
      <w:r>
        <w:rPr/>
        <w:t>Building</w:t>
      </w:r>
      <w:r>
        <w:rPr>
          <w:spacing w:val="-6"/>
        </w:rPr>
        <w:t> </w:t>
      </w:r>
      <w:r>
        <w:rPr/>
        <w:t>hardware</w:t>
      </w:r>
      <w:r>
        <w:rPr>
          <w:spacing w:val="-5"/>
        </w:rPr>
        <w:t> </w:t>
      </w:r>
      <w:r>
        <w:rPr/>
        <w:t>–</w:t>
      </w:r>
      <w:r>
        <w:rPr>
          <w:spacing w:val="-6"/>
        </w:rPr>
        <w:t> </w:t>
      </w:r>
      <w:r>
        <w:rPr/>
        <w:t>Hardware</w:t>
      </w:r>
      <w:r>
        <w:rPr>
          <w:spacing w:val="-5"/>
        </w:rPr>
        <w:t> </w:t>
      </w:r>
      <w:r>
        <w:rPr/>
        <w:t>for</w:t>
      </w:r>
      <w:r>
        <w:rPr>
          <w:spacing w:val="-6"/>
        </w:rPr>
        <w:t> </w:t>
      </w:r>
      <w:r>
        <w:rPr/>
        <w:t>sliding</w:t>
      </w:r>
      <w:r>
        <w:rPr>
          <w:spacing w:val="-5"/>
        </w:rPr>
        <w:t> </w:t>
      </w:r>
      <w:r>
        <w:rPr/>
        <w:t>doors</w:t>
      </w:r>
      <w:r>
        <w:rPr>
          <w:spacing w:val="-5"/>
        </w:rPr>
        <w:t> </w:t>
      </w:r>
      <w:r>
        <w:rPr/>
        <w:t>and</w:t>
      </w:r>
      <w:r>
        <w:rPr>
          <w:spacing w:val="-6"/>
        </w:rPr>
        <w:t> </w:t>
      </w:r>
      <w:r>
        <w:rPr/>
        <w:t>folding</w:t>
      </w:r>
      <w:r>
        <w:rPr>
          <w:spacing w:val="-5"/>
        </w:rPr>
        <w:t> </w:t>
      </w:r>
      <w:r>
        <w:rPr/>
        <w:t>doors</w:t>
      </w:r>
      <w:r>
        <w:rPr>
          <w:spacing w:val="-6"/>
        </w:rPr>
        <w:t> </w:t>
      </w:r>
      <w:r>
        <w:rPr/>
        <w:t>according</w:t>
      </w:r>
      <w:r>
        <w:rPr>
          <w:spacing w:val="-5"/>
        </w:rPr>
        <w:t> </w:t>
      </w:r>
      <w:r>
        <w:rPr/>
        <w:t>to</w:t>
      </w:r>
      <w:r>
        <w:rPr>
          <w:spacing w:val="-5"/>
        </w:rPr>
        <w:t> </w:t>
      </w:r>
      <w:r>
        <w:rPr/>
        <w:t>EN</w:t>
      </w:r>
      <w:r>
        <w:rPr>
          <w:spacing w:val="-8"/>
        </w:rPr>
        <w:t> </w:t>
      </w:r>
      <w:r>
        <w:rPr/>
        <w:t>1527</w:t>
      </w:r>
      <w:r>
        <w:rPr>
          <w:spacing w:val="-7"/>
        </w:rPr>
        <w:t> </w:t>
      </w:r>
      <w:r>
        <w:rPr/>
        <w:t>/</w:t>
      </w:r>
      <w:r>
        <w:rPr>
          <w:spacing w:val="-7"/>
        </w:rPr>
        <w:t> </w:t>
      </w:r>
      <w:r>
        <w:rPr/>
        <w:t>2013</w:t>
      </w:r>
    </w:p>
    <w:p>
      <w:pPr>
        <w:pStyle w:val="ListParagraph"/>
        <w:numPr>
          <w:ilvl w:val="0"/>
          <w:numId w:val="1"/>
        </w:numPr>
        <w:tabs>
          <w:tab w:pos="2618" w:val="left" w:leader="none"/>
        </w:tabs>
        <w:spacing w:line="240" w:lineRule="auto" w:before="10" w:after="0"/>
        <w:ind w:left="2617" w:right="0" w:hanging="156"/>
        <w:jc w:val="left"/>
        <w:rPr>
          <w:sz w:val="20"/>
        </w:rPr>
      </w:pPr>
      <w:r>
        <w:rPr>
          <w:sz w:val="20"/>
        </w:rPr>
        <w:t>Duration of functionality: Class 6 (highest class = 100,000</w:t>
      </w:r>
      <w:r>
        <w:rPr>
          <w:spacing w:val="-13"/>
          <w:sz w:val="20"/>
        </w:rPr>
        <w:t> </w:t>
      </w:r>
      <w:r>
        <w:rPr>
          <w:sz w:val="20"/>
        </w:rPr>
        <w:t>cycles)</w:t>
      </w:r>
    </w:p>
    <w:p>
      <w:pPr>
        <w:pStyle w:val="BodyText"/>
        <w:spacing w:before="171"/>
        <w:ind w:left="112"/>
      </w:pPr>
      <w:r>
        <w:rPr/>
        <w:t>*see warranty</w:t>
      </w:r>
    </w:p>
    <w:p>
      <w:pPr>
        <w:spacing w:after="0"/>
        <w:sectPr>
          <w:headerReference w:type="default" r:id="rId5"/>
          <w:footerReference w:type="default" r:id="rId6"/>
          <w:type w:val="continuous"/>
          <w:pgSz w:w="11910" w:h="16840"/>
          <w:pgMar w:header="401" w:footer="1105" w:top="1700" w:bottom="1300" w:left="460" w:right="500"/>
          <w:pgNumType w:start="1"/>
        </w:sectPr>
      </w:pPr>
    </w:p>
    <w:p>
      <w:pPr>
        <w:pStyle w:val="BodyText"/>
      </w:pPr>
    </w:p>
    <w:p>
      <w:pPr>
        <w:pStyle w:val="BodyText"/>
        <w:spacing w:before="7"/>
        <w:rPr>
          <w:sz w:val="17"/>
        </w:rPr>
      </w:pPr>
    </w:p>
    <w:p>
      <w:pPr>
        <w:pStyle w:val="BodyText"/>
        <w:tabs>
          <w:tab w:pos="2461" w:val="left" w:leader="none"/>
        </w:tabs>
        <w:ind w:left="2461" w:right="611" w:hanging="2349"/>
      </w:pPr>
      <w:r>
        <w:rPr>
          <w:b/>
          <w:position w:val="1"/>
        </w:rPr>
        <w:t>Warranty</w:t>
        <w:tab/>
      </w:r>
      <w:r>
        <w:rPr/>
        <w:t>Performance guarantee for all official Hawa Junior 100 versions with magnetic soft</w:t>
      </w:r>
      <w:r>
        <w:rPr>
          <w:spacing w:val="-40"/>
        </w:rPr>
        <w:t> </w:t>
      </w:r>
      <w:r>
        <w:rPr/>
        <w:t>close system: Guaranteed opening force of the sliding doors of max. 22 N for 15 years in domestic use and 7 years in commercial</w:t>
      </w:r>
      <w:r>
        <w:rPr>
          <w:spacing w:val="-7"/>
        </w:rPr>
        <w:t> </w:t>
      </w:r>
      <w:r>
        <w:rPr/>
        <w:t>use</w:t>
      </w:r>
    </w:p>
    <w:p>
      <w:pPr>
        <w:pStyle w:val="BodyText"/>
      </w:pPr>
    </w:p>
    <w:p>
      <w:pPr>
        <w:pStyle w:val="BodyText"/>
        <w:ind w:left="2461" w:right="273"/>
      </w:pPr>
      <w:r>
        <w:rPr/>
        <w:t>The performance guarantee is valid worldwide with the exception of contractual partners with their registered office/residence in the USA and use of the products by end users with registered office/residence in the USA.</w:t>
      </w:r>
    </w:p>
    <w:p>
      <w:pPr>
        <w:pStyle w:val="BodyText"/>
      </w:pPr>
    </w:p>
    <w:p>
      <w:pPr>
        <w:pStyle w:val="BodyText"/>
        <w:ind w:left="2461"/>
      </w:pPr>
      <w:r>
        <w:rPr/>
        <w:t>Additional function guarantee on all parts other than those subject to wear and tear: 2 years</w:t>
      </w:r>
    </w:p>
    <w:p>
      <w:pPr>
        <w:pStyle w:val="BodyText"/>
      </w:pPr>
    </w:p>
    <w:p>
      <w:pPr>
        <w:pStyle w:val="BodyText"/>
        <w:spacing w:before="6"/>
        <w:rPr>
          <w:sz w:val="23"/>
        </w:rPr>
      </w:pPr>
    </w:p>
    <w:p>
      <w:pPr>
        <w:pStyle w:val="BodyText"/>
        <w:tabs>
          <w:tab w:pos="2461" w:val="left" w:leader="none"/>
        </w:tabs>
        <w:ind w:left="2461" w:right="273" w:hanging="2349"/>
      </w:pPr>
      <w:r>
        <w:rPr>
          <w:b/>
          <w:position w:val="1"/>
        </w:rPr>
        <w:t>Product</w:t>
      </w:r>
      <w:r>
        <w:rPr>
          <w:b/>
          <w:spacing w:val="-4"/>
          <w:position w:val="1"/>
        </w:rPr>
        <w:t> </w:t>
      </w:r>
      <w:r>
        <w:rPr>
          <w:b/>
          <w:position w:val="1"/>
        </w:rPr>
        <w:t>Design</w:t>
        <w:tab/>
      </w:r>
      <w:r>
        <w:rPr/>
        <w:t>Hawa Junior 100 GP Pocket consisting of running track (aluminum wall thickness 2.9 mm (1/8'')), running gear with friction bearing rollers, stopper, spring buffer or soft closing mechanism</w:t>
      </w:r>
      <w:r>
        <w:rPr>
          <w:spacing w:val="-5"/>
        </w:rPr>
        <w:t> </w:t>
      </w:r>
      <w:r>
        <w:rPr/>
        <w:t>Hawa</w:t>
      </w:r>
      <w:r>
        <w:rPr>
          <w:spacing w:val="-4"/>
        </w:rPr>
        <w:t> </w:t>
      </w:r>
      <w:r>
        <w:rPr/>
        <w:t>SoftMove</w:t>
      </w:r>
      <w:r>
        <w:rPr>
          <w:spacing w:val="-4"/>
        </w:rPr>
        <w:t> </w:t>
      </w:r>
      <w:r>
        <w:rPr/>
        <w:t>100,</w:t>
      </w:r>
      <w:r>
        <w:rPr>
          <w:spacing w:val="-5"/>
        </w:rPr>
        <w:t> </w:t>
      </w:r>
      <w:r>
        <w:rPr/>
        <w:t>Glass</w:t>
      </w:r>
      <w:r>
        <w:rPr>
          <w:spacing w:val="-5"/>
        </w:rPr>
        <w:t> </w:t>
      </w:r>
      <w:r>
        <w:rPr/>
        <w:t>suspension</w:t>
      </w:r>
      <w:r>
        <w:rPr>
          <w:spacing w:val="-5"/>
        </w:rPr>
        <w:t> </w:t>
      </w:r>
      <w:r>
        <w:rPr/>
        <w:t>with</w:t>
      </w:r>
      <w:r>
        <w:rPr>
          <w:spacing w:val="-5"/>
        </w:rPr>
        <w:t> </w:t>
      </w:r>
      <w:r>
        <w:rPr/>
        <w:t>point</w:t>
      </w:r>
      <w:r>
        <w:rPr>
          <w:spacing w:val="-5"/>
        </w:rPr>
        <w:t> </w:t>
      </w:r>
      <w:r>
        <w:rPr/>
        <w:t>fixing,</w:t>
      </w:r>
      <w:r>
        <w:rPr>
          <w:spacing w:val="-5"/>
        </w:rPr>
        <w:t> </w:t>
      </w:r>
      <w:r>
        <w:rPr/>
        <w:t>bottom</w:t>
      </w:r>
      <w:r>
        <w:rPr>
          <w:spacing w:val="-4"/>
        </w:rPr>
        <w:t> </w:t>
      </w:r>
      <w:r>
        <w:rPr/>
        <w:t>guide</w:t>
      </w:r>
      <w:r>
        <w:rPr>
          <w:spacing w:val="-5"/>
        </w:rPr>
        <w:t> </w:t>
      </w:r>
      <w:r>
        <w:rPr/>
        <w:t>with</w:t>
      </w:r>
      <w:r>
        <w:rPr>
          <w:spacing w:val="-5"/>
        </w:rPr>
        <w:t> </w:t>
      </w:r>
      <w:r>
        <w:rPr/>
        <w:t>zero clearance</w:t>
      </w:r>
    </w:p>
    <w:p>
      <w:pPr>
        <w:pStyle w:val="BodyText"/>
        <w:spacing w:before="8"/>
      </w:pPr>
    </w:p>
    <w:p>
      <w:pPr>
        <w:pStyle w:val="BodyText"/>
        <w:ind w:left="2461"/>
      </w:pPr>
      <w:r>
        <w:rPr/>
        <w:t>Optional:</w:t>
      </w:r>
    </w:p>
    <w:p>
      <w:pPr>
        <w:pStyle w:val="BodyText"/>
        <w:tabs>
          <w:tab w:pos="2732" w:val="left" w:leader="dot"/>
        </w:tabs>
        <w:spacing w:before="2"/>
        <w:ind w:left="2461"/>
      </w:pPr>
      <w:r>
        <w:rPr/>
        <w:t>(</w:t>
        <w:tab/>
        <w:t>) Set for installable and removable running track,</w:t>
      </w:r>
      <w:r>
        <w:rPr>
          <w:spacing w:val="-10"/>
        </w:rPr>
        <w:t> </w:t>
      </w:r>
      <w:r>
        <w:rPr/>
        <w:t>aluminum</w:t>
      </w:r>
    </w:p>
    <w:p>
      <w:pPr>
        <w:pStyle w:val="BodyText"/>
      </w:pPr>
    </w:p>
    <w:p>
      <w:pPr>
        <w:pStyle w:val="BodyText"/>
      </w:pPr>
    </w:p>
    <w:p>
      <w:pPr>
        <w:pStyle w:val="BodyText"/>
        <w:spacing w:before="6"/>
        <w:rPr>
          <w:sz w:val="27"/>
        </w:rPr>
      </w:pPr>
    </w:p>
    <w:p>
      <w:pPr>
        <w:pStyle w:val="Heading1"/>
        <w:tabs>
          <w:tab w:pos="2461" w:val="left" w:leader="none"/>
        </w:tabs>
        <w:ind w:left="112"/>
      </w:pPr>
      <w:r>
        <w:rPr>
          <w:position w:val="2"/>
        </w:rPr>
        <w:t>I</w:t>
      </w:r>
      <w:r>
        <w:rPr>
          <w:position w:val="1"/>
        </w:rPr>
        <w:t>nterfaces</w:t>
        <w:tab/>
      </w:r>
      <w:r>
        <w:rPr/>
        <w:t>Door</w:t>
      </w:r>
      <w:r>
        <w:rPr>
          <w:spacing w:val="-3"/>
        </w:rPr>
        <w:t> </w:t>
      </w:r>
      <w:r>
        <w:rPr/>
        <w:t>leaf</w:t>
      </w:r>
    </w:p>
    <w:p>
      <w:pPr>
        <w:pStyle w:val="BodyText"/>
        <w:ind w:left="2461"/>
      </w:pPr>
      <w:r>
        <w:rPr/>
        <w:t>- Glass processing for glass holders</w:t>
      </w:r>
    </w:p>
    <w:p>
      <w:pPr>
        <w:pStyle w:val="ListParagraph"/>
        <w:numPr>
          <w:ilvl w:val="0"/>
          <w:numId w:val="1"/>
        </w:numPr>
        <w:tabs>
          <w:tab w:pos="2618" w:val="left" w:leader="none"/>
        </w:tabs>
        <w:spacing w:line="240" w:lineRule="auto" w:before="2" w:after="0"/>
        <w:ind w:left="2617" w:right="0" w:hanging="156"/>
        <w:jc w:val="left"/>
        <w:rPr>
          <w:sz w:val="20"/>
        </w:rPr>
      </w:pPr>
      <w:r>
        <w:rPr>
          <w:sz w:val="20"/>
        </w:rPr>
        <w:t>Positive-fit glass fixing with point</w:t>
      </w:r>
      <w:r>
        <w:rPr>
          <w:spacing w:val="-5"/>
          <w:sz w:val="20"/>
        </w:rPr>
        <w:t> </w:t>
      </w:r>
      <w:r>
        <w:rPr>
          <w:sz w:val="20"/>
        </w:rPr>
        <w:t>fixing</w:t>
      </w:r>
    </w:p>
    <w:p>
      <w:pPr>
        <w:pStyle w:val="BodyText"/>
        <w:spacing w:before="2"/>
      </w:pPr>
    </w:p>
    <w:p>
      <w:pPr>
        <w:pStyle w:val="Heading1"/>
      </w:pPr>
      <w:r>
        <w:rPr/>
        <w:t>Assembly</w:t>
      </w:r>
      <w:r>
        <w:rPr>
          <w:spacing w:val="-5"/>
        </w:rPr>
        <w:t> </w:t>
      </w:r>
      <w:r>
        <w:rPr/>
        <w:t>set</w:t>
      </w:r>
    </w:p>
    <w:p>
      <w:pPr>
        <w:pStyle w:val="ListParagraph"/>
        <w:numPr>
          <w:ilvl w:val="0"/>
          <w:numId w:val="1"/>
        </w:numPr>
        <w:tabs>
          <w:tab w:pos="2618" w:val="left" w:leader="none"/>
        </w:tabs>
        <w:spacing w:line="240" w:lineRule="auto" w:before="0" w:after="0"/>
        <w:ind w:left="2617" w:right="0" w:hanging="156"/>
        <w:jc w:val="left"/>
        <w:rPr>
          <w:sz w:val="20"/>
        </w:rPr>
      </w:pPr>
      <w:r>
        <w:rPr>
          <w:sz w:val="20"/>
        </w:rPr>
        <w:t>The</w:t>
      </w:r>
      <w:r>
        <w:rPr>
          <w:spacing w:val="-5"/>
          <w:sz w:val="20"/>
        </w:rPr>
        <w:t> </w:t>
      </w:r>
      <w:r>
        <w:rPr>
          <w:sz w:val="20"/>
        </w:rPr>
        <w:t>retainer</w:t>
      </w:r>
      <w:r>
        <w:rPr>
          <w:spacing w:val="-5"/>
          <w:sz w:val="20"/>
        </w:rPr>
        <w:t> </w:t>
      </w:r>
      <w:r>
        <w:rPr>
          <w:sz w:val="20"/>
        </w:rPr>
        <w:t>profile</w:t>
      </w:r>
      <w:r>
        <w:rPr>
          <w:spacing w:val="-4"/>
          <w:sz w:val="20"/>
        </w:rPr>
        <w:t> </w:t>
      </w:r>
      <w:r>
        <w:rPr>
          <w:sz w:val="20"/>
        </w:rPr>
        <w:t>is</w:t>
      </w:r>
      <w:r>
        <w:rPr>
          <w:spacing w:val="-5"/>
          <w:sz w:val="20"/>
        </w:rPr>
        <w:t> </w:t>
      </w:r>
      <w:r>
        <w:rPr>
          <w:sz w:val="20"/>
        </w:rPr>
        <w:t>installed</w:t>
      </w:r>
      <w:r>
        <w:rPr>
          <w:spacing w:val="-5"/>
          <w:sz w:val="20"/>
        </w:rPr>
        <w:t> </w:t>
      </w:r>
      <w:r>
        <w:rPr>
          <w:sz w:val="20"/>
        </w:rPr>
        <w:t>during</w:t>
      </w:r>
      <w:r>
        <w:rPr>
          <w:spacing w:val="-5"/>
          <w:sz w:val="20"/>
        </w:rPr>
        <w:t> </w:t>
      </w:r>
      <w:r>
        <w:rPr>
          <w:sz w:val="20"/>
        </w:rPr>
        <w:t>the</w:t>
      </w:r>
      <w:r>
        <w:rPr>
          <w:spacing w:val="-4"/>
          <w:sz w:val="20"/>
        </w:rPr>
        <w:t> </w:t>
      </w:r>
      <w:r>
        <w:rPr>
          <w:sz w:val="20"/>
        </w:rPr>
        <w:t>creation</w:t>
      </w:r>
      <w:r>
        <w:rPr>
          <w:spacing w:val="-6"/>
          <w:sz w:val="20"/>
        </w:rPr>
        <w:t> </w:t>
      </w:r>
      <w:r>
        <w:rPr>
          <w:sz w:val="20"/>
        </w:rPr>
        <w:t>of</w:t>
      </w:r>
      <w:r>
        <w:rPr>
          <w:spacing w:val="-4"/>
          <w:sz w:val="20"/>
        </w:rPr>
        <w:t> </w:t>
      </w:r>
      <w:r>
        <w:rPr>
          <w:sz w:val="20"/>
        </w:rPr>
        <w:t>the</w:t>
      </w:r>
      <w:r>
        <w:rPr>
          <w:spacing w:val="-5"/>
          <w:sz w:val="20"/>
        </w:rPr>
        <w:t> </w:t>
      </w:r>
      <w:r>
        <w:rPr>
          <w:sz w:val="20"/>
        </w:rPr>
        <w:t>pocket</w:t>
      </w:r>
      <w:r>
        <w:rPr>
          <w:spacing w:val="-5"/>
          <w:sz w:val="20"/>
        </w:rPr>
        <w:t> </w:t>
      </w:r>
      <w:r>
        <w:rPr>
          <w:sz w:val="20"/>
        </w:rPr>
        <w:t>construction</w:t>
      </w:r>
    </w:p>
    <w:p>
      <w:pPr>
        <w:pStyle w:val="BodyText"/>
        <w:spacing w:before="3"/>
      </w:pPr>
    </w:p>
    <w:p>
      <w:pPr>
        <w:pStyle w:val="Heading1"/>
        <w:rPr>
          <w:b w:val="0"/>
        </w:rPr>
      </w:pPr>
      <w:r>
        <w:rPr/>
        <w:t>Pocket constructio</w:t>
      </w:r>
      <w:r>
        <w:rPr>
          <w:b w:val="0"/>
        </w:rPr>
        <w:t>n</w:t>
      </w:r>
    </w:p>
    <w:p>
      <w:pPr>
        <w:pStyle w:val="ListParagraph"/>
        <w:numPr>
          <w:ilvl w:val="0"/>
          <w:numId w:val="1"/>
        </w:numPr>
        <w:tabs>
          <w:tab w:pos="2618" w:val="left" w:leader="none"/>
        </w:tabs>
        <w:spacing w:line="240" w:lineRule="auto" w:before="0" w:after="0"/>
        <w:ind w:left="2617" w:right="0" w:hanging="156"/>
        <w:jc w:val="left"/>
        <w:rPr>
          <w:sz w:val="20"/>
        </w:rPr>
      </w:pPr>
      <w:r>
        <w:rPr>
          <w:sz w:val="20"/>
        </w:rPr>
        <w:t>Pocket construction must be taken care of by the</w:t>
      </w:r>
      <w:r>
        <w:rPr>
          <w:spacing w:val="-8"/>
          <w:sz w:val="20"/>
        </w:rPr>
        <w:t> </w:t>
      </w:r>
      <w:r>
        <w:rPr>
          <w:sz w:val="20"/>
        </w:rPr>
        <w:t>customer</w:t>
      </w:r>
    </w:p>
    <w:sectPr>
      <w:pgSz w:w="11910" w:h="16840"/>
      <w:pgMar w:header="401" w:footer="1105" w:top="1700" w:bottom="1300" w:left="4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5pt;margin-top:775.669922pt;width:279.8pt;height:35.25pt;mso-position-horizontal-relative:page;mso-position-vertical-relative:page;z-index:-5872" type="#_x0000_t202" filled="false" stroked="false">
          <v:textbox inset="0,0,0,0">
            <w:txbxContent>
              <w:p>
                <w:pPr>
                  <w:spacing w:line="205" w:lineRule="exact" w:before="0"/>
                  <w:ind w:left="20" w:right="0" w:firstLine="0"/>
                  <w:jc w:val="left"/>
                  <w:rPr>
                    <w:b/>
                    <w:sz w:val="20"/>
                  </w:rPr>
                </w:pPr>
                <w:r>
                  <w:rPr>
                    <w:b/>
                    <w:sz w:val="20"/>
                  </w:rPr>
                  <w:t>Hawa Sliding Solutions AG</w:t>
                </w:r>
              </w:p>
              <w:p>
                <w:pPr>
                  <w:pStyle w:val="BodyText"/>
                  <w:spacing w:line="232" w:lineRule="exact"/>
                  <w:ind w:left="20"/>
                </w:pPr>
                <w:r>
                  <w:rPr/>
                  <w:t>Untere Fischbachstrasse 4, 8932 Mettmenstetten, Switzerland</w:t>
                </w:r>
              </w:p>
              <w:p>
                <w:pPr>
                  <w:pStyle w:val="BodyText"/>
                  <w:spacing w:line="233" w:lineRule="exact"/>
                  <w:ind w:left="20"/>
                </w:pPr>
                <w:r>
                  <w:rPr/>
                  <w:t>Phone +41 44 787 17 17, </w:t>
                </w:r>
                <w:hyperlink r:id="rId1">
                  <w:r>
                    <w:rPr/>
                    <w:t>info@hawa.com, </w:t>
                  </w:r>
                </w:hyperlink>
                <w:hyperlink r:id="rId2">
                  <w:r>
                    <w:rPr/>
                    <w:t>www.hawa.com</w:t>
                  </w:r>
                </w:hyperlink>
              </w:p>
            </w:txbxContent>
          </v:textbox>
          <w10:wrap type="none"/>
        </v:shape>
      </w:pict>
    </w:r>
    <w:r>
      <w:rPr/>
      <w:pict>
        <v:shape style="position:absolute;margin-left:556.79187pt;margin-top:797.215942pt;width:9.550pt;height:11.95pt;mso-position-horizontal-relative:page;mso-position-vertical-relative:page;z-index:-5848" type="#_x0000_t202" filled="false" stroked="false">
          <v:textbox inset="0,0,0,0">
            <w:txbxContent>
              <w:p>
                <w:pPr>
                  <w:pStyle w:val="BodyText"/>
                  <w:spacing w:line="20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9511">
          <wp:simplePos x="0" y="0"/>
          <wp:positionH relativeFrom="page">
            <wp:posOffset>356453</wp:posOffset>
          </wp:positionH>
          <wp:positionV relativeFrom="page">
            <wp:posOffset>254602</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9535">
          <wp:simplePos x="0" y="0"/>
          <wp:positionH relativeFrom="page">
            <wp:posOffset>5044351</wp:posOffset>
          </wp:positionH>
          <wp:positionV relativeFrom="page">
            <wp:posOffset>827043</wp:posOffset>
          </wp:positionV>
          <wp:extent cx="1008150"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08150"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82.946106pt;margin-top:68.660194pt;width:82.3pt;height:13.95pt;mso-position-horizontal-relative:page;mso-position-vertical-relative:page;z-index:-5896" type="#_x0000_t202" filled="false" stroked="false">
          <v:textbox inset="0,0,0,0">
            <w:txbxContent>
              <w:p>
                <w:pPr>
                  <w:spacing w:line="241" w:lineRule="exact" w:before="0"/>
                  <w:ind w:left="20" w:right="0" w:firstLine="0"/>
                  <w:jc w:val="left"/>
                  <w:rPr>
                    <w:sz w:val="24"/>
                  </w:rPr>
                </w:pPr>
                <w:r>
                  <w:rPr>
                    <w:color w:val="003C78"/>
                    <w:sz w:val="24"/>
                  </w:rPr>
                  <w:t>100 GP Pocket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6"/>
      </w:pPr>
      <w:rPr>
        <w:rFonts w:hint="default" w:ascii="HelveticaNeueLT Std" w:hAnsi="HelveticaNeueLT Std" w:eastAsia="HelveticaNeueLT Std" w:cs="HelveticaNeueLT Std"/>
        <w:w w:val="99"/>
        <w:sz w:val="20"/>
        <w:szCs w:val="20"/>
      </w:rPr>
    </w:lvl>
    <w:lvl w:ilvl="1">
      <w:start w:val="0"/>
      <w:numFmt w:val="bullet"/>
      <w:lvlText w:val="•"/>
      <w:lvlJc w:val="left"/>
      <w:pPr>
        <w:ind w:left="3452" w:hanging="156"/>
      </w:pPr>
      <w:rPr>
        <w:rFonts w:hint="default"/>
      </w:rPr>
    </w:lvl>
    <w:lvl w:ilvl="2">
      <w:start w:val="0"/>
      <w:numFmt w:val="bullet"/>
      <w:lvlText w:val="•"/>
      <w:lvlJc w:val="left"/>
      <w:pPr>
        <w:ind w:left="4285" w:hanging="156"/>
      </w:pPr>
      <w:rPr>
        <w:rFonts w:hint="default"/>
      </w:rPr>
    </w:lvl>
    <w:lvl w:ilvl="3">
      <w:start w:val="0"/>
      <w:numFmt w:val="bullet"/>
      <w:lvlText w:val="•"/>
      <w:lvlJc w:val="left"/>
      <w:pPr>
        <w:ind w:left="5118" w:hanging="156"/>
      </w:pPr>
      <w:rPr>
        <w:rFonts w:hint="default"/>
      </w:rPr>
    </w:lvl>
    <w:lvl w:ilvl="4">
      <w:start w:val="0"/>
      <w:numFmt w:val="bullet"/>
      <w:lvlText w:val="•"/>
      <w:lvlJc w:val="left"/>
      <w:pPr>
        <w:ind w:left="5951" w:hanging="156"/>
      </w:pPr>
      <w:rPr>
        <w:rFonts w:hint="default"/>
      </w:rPr>
    </w:lvl>
    <w:lvl w:ilvl="5">
      <w:start w:val="0"/>
      <w:numFmt w:val="bullet"/>
      <w:lvlText w:val="•"/>
      <w:lvlJc w:val="left"/>
      <w:pPr>
        <w:ind w:left="6784" w:hanging="156"/>
      </w:pPr>
      <w:rPr>
        <w:rFonts w:hint="default"/>
      </w:rPr>
    </w:lvl>
    <w:lvl w:ilvl="6">
      <w:start w:val="0"/>
      <w:numFmt w:val="bullet"/>
      <w:lvlText w:val="•"/>
      <w:lvlJc w:val="left"/>
      <w:pPr>
        <w:ind w:left="7617" w:hanging="156"/>
      </w:pPr>
      <w:rPr>
        <w:rFonts w:hint="default"/>
      </w:rPr>
    </w:lvl>
    <w:lvl w:ilvl="7">
      <w:start w:val="0"/>
      <w:numFmt w:val="bullet"/>
      <w:lvlText w:val="•"/>
      <w:lvlJc w:val="left"/>
      <w:pPr>
        <w:ind w:left="8450" w:hanging="156"/>
      </w:pPr>
      <w:rPr>
        <w:rFonts w:hint="default"/>
      </w:rPr>
    </w:lvl>
    <w:lvl w:ilvl="8">
      <w:start w:val="0"/>
      <w:numFmt w:val="bullet"/>
      <w:lvlText w:val="•"/>
      <w:lvlJc w:val="left"/>
      <w:pPr>
        <w:ind w:left="9283" w:hanging="1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0"/>
      <w:szCs w:val="20"/>
    </w:rPr>
  </w:style>
  <w:style w:styleId="Heading1" w:type="paragraph">
    <w:name w:val="Heading 1"/>
    <w:basedOn w:val="Normal"/>
    <w:uiPriority w:val="1"/>
    <w:qFormat/>
    <w:pPr>
      <w:ind w:left="2461"/>
      <w:outlineLvl w:val="1"/>
    </w:pPr>
    <w:rPr>
      <w:rFonts w:ascii="HelveticaNeueLT Std" w:hAnsi="HelveticaNeueLT Std" w:eastAsia="HelveticaNeueLT Std" w:cs="HelveticaNeueLT Std"/>
      <w:b/>
      <w:bCs/>
      <w:sz w:val="20"/>
      <w:szCs w:val="20"/>
    </w:rPr>
  </w:style>
  <w:style w:styleId="ListParagraph" w:type="paragraph">
    <w:name w:val="List Paragraph"/>
    <w:basedOn w:val="Normal"/>
    <w:uiPriority w:val="1"/>
    <w:qFormat/>
    <w:pPr>
      <w:ind w:left="2617"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2023-01-26T13:35:37Z</dcterms:created>
  <dcterms:modified xsi:type="dcterms:W3CDTF">2023-01-26T13:35:37Z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combit® List &amp; Label® Report Generator (22.5.0.0)</vt:lpwstr>
  </property>
  <property fmtid="{D5CDD505-2E9C-101B-9397-08002B2CF9AE}" pid="4" name="LastSaved">
    <vt:filetime>2023-01-26T00:00:00Z</vt:filetime>
  </property>
</Properties>
</file>