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000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766" coordorigin="62,6626" coordsize="11783,766" path="m11845,6626l11289,6626,7615,6626,2897,6626,62,6626,62,6881,62,7392,2897,7392,7615,7392,11289,7392,11845,7392,11845,6881,11845,6626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coordorigin="62,7392" coordsize="11783,539" path="m11845,7392l11289,7392,7615,7392,2897,7392,62,7392,62,7930,2897,7930,7615,7930,11289,7930,11845,7930,11845,7392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100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Montage au plafond. À ouverture totale.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459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Faible encombrement et profils de retenue du verre</w:t>
                    </w:r>
                  </w:p>
                </w:txbxContent>
              </v:textbox>
              <w10:wrap type="none"/>
            </v:shape>
            <v:shape style="position:absolute;left:3464;top:4029;width:9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023;width:601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Convient également pour une utilisation en extérieur dans un climat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continental</w:t>
                    </w:r>
                  </w:p>
                </w:txbxContent>
              </v:textbox>
              <w10:wrap type="none"/>
            </v:shape>
            <v:shape style="position:absolute;left:572;top:4885;width:5773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 Hauteur de la porte Max. Largeur de porte Hauteur max. d`ouverture Réglage en hauteur Amortissement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Materiau de la porte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4;top:4885;width:323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10900 mm</w:t>
                    </w:r>
                  </w:p>
                  <w:p>
                    <w:pPr>
                      <w:spacing w:line="261" w:lineRule="auto" w:before="21"/>
                      <w:ind w:left="0" w:right="2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Non Verre</w:t>
                    </w:r>
                  </w:p>
                  <w:p>
                    <w:pPr>
                      <w:spacing w:line="261" w:lineRule="auto" w:before="3"/>
                      <w:ind w:left="0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brut;Aluminium anodisé / aluminium d’aspect inox</w:t>
                    </w:r>
                  </w:p>
                </w:txbxContent>
              </v:textbox>
              <w10:wrap type="none"/>
            </v:shape>
            <v:shape style="position:absolute;left:572;top:7731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720;width:1818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720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14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14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tabs>
          <w:tab w:pos="2461" w:val="left" w:leader="none"/>
        </w:tabs>
        <w:spacing w:before="47"/>
        <w:ind w:right="104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Fermetures et stores - Résistance aux charges dues à l’action du vent - Procédure d’essai EN 1932</w:t>
      </w:r>
      <w:r>
        <w:rPr>
          <w:spacing w:val="-2"/>
        </w:rPr>
        <w:t> </w:t>
      </w:r>
      <w:r>
        <w:rPr/>
        <w:t>(03/2003)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21" w:right="0" w:hanging="160"/>
        <w:jc w:val="left"/>
        <w:rPr>
          <w:sz w:val="20"/>
        </w:rPr>
      </w:pPr>
      <w:r>
        <w:rPr>
          <w:sz w:val="20"/>
        </w:rPr>
        <w:t>Catégorie 5 Résistance au</w:t>
      </w:r>
      <w:r>
        <w:rPr>
          <w:spacing w:val="-3"/>
          <w:sz w:val="20"/>
        </w:rPr>
        <w:t> </w:t>
      </w:r>
      <w:r>
        <w:rPr>
          <w:sz w:val="20"/>
        </w:rPr>
        <w:t>vent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Forces de déplacement - Procédures d’essai - Partie : Fenêtre EN 12046-1 (11/2003)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1" w:right="0" w:hanging="160"/>
        <w:jc w:val="left"/>
        <w:rPr>
          <w:sz w:val="20"/>
        </w:rPr>
      </w:pPr>
      <w:r>
        <w:rPr>
          <w:sz w:val="20"/>
        </w:rPr>
        <w:t>Catégorie 2 Force de</w:t>
      </w:r>
      <w:r>
        <w:rPr>
          <w:spacing w:val="-2"/>
          <w:sz w:val="20"/>
        </w:rPr>
        <w:t> </w:t>
      </w:r>
      <w:r>
        <w:rPr>
          <w:sz w:val="20"/>
        </w:rPr>
        <w:t>déplacement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Fermetures extérieures EN 13659 (06/2004) + A1 (10/2008)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2461" w:val="left" w:leader="none"/>
        </w:tabs>
        <w:spacing w:line="242" w:lineRule="auto" w:before="0"/>
        <w:ind w:left="2461" w:right="671" w:hanging="2349"/>
        <w:jc w:val="left"/>
        <w:rPr>
          <w:sz w:val="20"/>
        </w:rPr>
      </w:pPr>
      <w:r>
        <w:rPr>
          <w:b/>
          <w:position w:val="1"/>
          <w:sz w:val="20"/>
        </w:rPr>
        <w:t>Garantie</w:t>
        <w:tab/>
      </w:r>
      <w:r>
        <w:rPr>
          <w:sz w:val="20"/>
        </w:rPr>
        <w:t>Hawa</w:t>
      </w:r>
      <w:r>
        <w:rPr>
          <w:spacing w:val="-4"/>
          <w:sz w:val="20"/>
        </w:rPr>
        <w:t> </w:t>
      </w:r>
      <w:r>
        <w:rPr>
          <w:sz w:val="20"/>
        </w:rPr>
        <w:t>garantit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bon</w:t>
      </w:r>
      <w:r>
        <w:rPr>
          <w:spacing w:val="-5"/>
          <w:sz w:val="20"/>
        </w:rPr>
        <w:t> </w:t>
      </w:r>
      <w:r>
        <w:rPr>
          <w:sz w:val="20"/>
        </w:rPr>
        <w:t>fonctionnement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produits</w:t>
      </w:r>
      <w:r>
        <w:rPr>
          <w:spacing w:val="-4"/>
          <w:sz w:val="20"/>
        </w:rPr>
        <w:t> </w:t>
      </w:r>
      <w:r>
        <w:rPr>
          <w:sz w:val="20"/>
        </w:rPr>
        <w:t>livrés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ses</w:t>
      </w:r>
      <w:r>
        <w:rPr>
          <w:spacing w:val="-4"/>
          <w:sz w:val="20"/>
        </w:rPr>
        <w:t> </w:t>
      </w:r>
      <w:r>
        <w:rPr>
          <w:sz w:val="20"/>
        </w:rPr>
        <w:t>soins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durabilité</w:t>
      </w:r>
      <w:r>
        <w:rPr>
          <w:spacing w:val="-4"/>
          <w:sz w:val="20"/>
        </w:rPr>
        <w:t> </w:t>
      </w:r>
      <w:r>
        <w:rPr>
          <w:sz w:val="20"/>
        </w:rPr>
        <w:t>de tous les composants, à l’exception des pièces d’usure, pour une période de 2 ans à compter du transfert du</w:t>
      </w:r>
      <w:r>
        <w:rPr>
          <w:spacing w:val="-4"/>
          <w:sz w:val="20"/>
        </w:rPr>
        <w:t> </w:t>
      </w:r>
      <w:r>
        <w:rPr>
          <w:sz w:val="20"/>
        </w:rPr>
        <w:t>risque.</w:t>
      </w:r>
    </w:p>
    <w:p>
      <w:pPr>
        <w:spacing w:after="0" w:line="242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 w:before="1"/>
        <w:ind w:left="2461" w:right="113" w:hanging="2349"/>
      </w:pPr>
      <w:r>
        <w:rPr>
          <w:b/>
          <w:w w:val="105"/>
          <w:position w:val="1"/>
          <w:sz w:val="20"/>
        </w:rPr>
        <w:t>Version</w:t>
      </w:r>
      <w:r>
        <w:rPr>
          <w:b/>
          <w:spacing w:val="-26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du</w:t>
      </w:r>
      <w:r>
        <w:rPr>
          <w:b/>
          <w:spacing w:val="-25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produit</w:t>
        <w:tab/>
      </w:r>
      <w:r>
        <w:rPr>
          <w:w w:val="105"/>
        </w:rPr>
        <w:t>Hawa Aperto 60 GL composée d’un rail de roulement avec coude pour l’espace de parcage (aluminium épaisseur de paroi 2,8 mm) en 2 parties, pattes de suspension, chariot avec galets à roulement à billes, profil porteur et de retenue de verre avec cache, chariot de</w:t>
      </w:r>
      <w:r>
        <w:rPr>
          <w:spacing w:val="-12"/>
          <w:w w:val="105"/>
        </w:rPr>
        <w:t> </w:t>
      </w:r>
      <w:r>
        <w:rPr>
          <w:w w:val="105"/>
        </w:rPr>
        <w:t>suspension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2461"/>
      </w:pPr>
      <w:r>
        <w:rPr>
          <w:w w:val="105"/>
        </w:rPr>
        <w:t>En option :</w:t>
      </w:r>
    </w:p>
    <w:p>
      <w:pPr>
        <w:pStyle w:val="BodyText"/>
        <w:tabs>
          <w:tab w:pos="2788" w:val="left" w:leader="dot"/>
        </w:tabs>
        <w:spacing w:before="10"/>
        <w:ind w:left="2461"/>
      </w:pPr>
      <w:r>
        <w:rPr>
          <w:w w:val="105"/>
        </w:rPr>
        <w:t>(</w:t>
        <w:tab/>
        <w:t>) Profil de guidage au</w:t>
      </w:r>
      <w:r>
        <w:rPr>
          <w:spacing w:val="-4"/>
          <w:w w:val="105"/>
        </w:rPr>
        <w:t> </w:t>
      </w:r>
      <w:r>
        <w:rPr>
          <w:w w:val="105"/>
        </w:rPr>
        <w:t>sol</w:t>
      </w:r>
    </w:p>
    <w:p>
      <w:pPr>
        <w:pStyle w:val="BodyText"/>
        <w:tabs>
          <w:tab w:pos="2788" w:val="left" w:leader="dot"/>
        </w:tabs>
        <w:spacing w:before="9"/>
        <w:ind w:left="2461"/>
      </w:pPr>
      <w:r>
        <w:rPr>
          <w:w w:val="105"/>
        </w:rPr>
        <w:t>(</w:t>
        <w:tab/>
        <w:t>) Poignée</w:t>
      </w:r>
      <w:r>
        <w:rPr>
          <w:spacing w:val="-2"/>
          <w:w w:val="105"/>
        </w:rPr>
        <w:t> </w:t>
      </w:r>
      <w:r>
        <w:rPr>
          <w:w w:val="105"/>
        </w:rPr>
        <w:t>pivotante</w:t>
      </w:r>
    </w:p>
    <w:p>
      <w:pPr>
        <w:pStyle w:val="BodyText"/>
        <w:tabs>
          <w:tab w:pos="2788" w:val="left" w:leader="dot"/>
        </w:tabs>
        <w:spacing w:before="10"/>
        <w:ind w:left="2461"/>
      </w:pPr>
      <w:r>
        <w:rPr>
          <w:w w:val="105"/>
        </w:rPr>
        <w:t>(</w:t>
        <w:tab/>
        <w:t>) Modules de</w:t>
      </w:r>
      <w:r>
        <w:rPr>
          <w:spacing w:val="-2"/>
          <w:w w:val="105"/>
        </w:rPr>
        <w:t> </w:t>
      </w:r>
      <w:r>
        <w:rPr>
          <w:w w:val="105"/>
        </w:rPr>
        <w:t>cylindre</w:t>
      </w:r>
    </w:p>
    <w:p>
      <w:pPr>
        <w:pStyle w:val="BodyText"/>
        <w:tabs>
          <w:tab w:pos="2788" w:val="left" w:leader="dot"/>
        </w:tabs>
        <w:spacing w:before="9"/>
        <w:ind w:left="2461"/>
      </w:pPr>
      <w:r>
        <w:rPr>
          <w:w w:val="105"/>
        </w:rPr>
        <w:t>(</w:t>
        <w:tab/>
        <w:t>) Profil protecteur de chant de</w:t>
      </w:r>
      <w:r>
        <w:rPr>
          <w:spacing w:val="-4"/>
          <w:w w:val="105"/>
        </w:rPr>
        <w:t> </w:t>
      </w:r>
      <w:r>
        <w:rPr>
          <w:w w:val="105"/>
        </w:rPr>
        <w:t>verre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Panneau de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21" w:right="0" w:hanging="160"/>
        <w:jc w:val="left"/>
        <w:rPr>
          <w:sz w:val="19"/>
        </w:rPr>
      </w:pPr>
      <w:r>
        <w:rPr>
          <w:w w:val="105"/>
          <w:sz w:val="19"/>
        </w:rPr>
        <w:t>Usinage du verre pour supports de verre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Espace de parcage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2" w:lineRule="auto" w:before="2" w:after="0"/>
        <w:ind w:left="2621" w:right="1107" w:hanging="161"/>
        <w:jc w:val="left"/>
        <w:rPr>
          <w:sz w:val="19"/>
        </w:rPr>
      </w:pPr>
      <w:r>
        <w:rPr>
          <w:sz w:val="19"/>
        </w:rPr>
        <w:t>Espace de parcage parallèle à l’axe de coulissement ou à 90° par rapport à l’axe de coulissement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9" w:lineRule="auto" w:before="5" w:after="0"/>
        <w:ind w:left="2626" w:right="554" w:hanging="166"/>
        <w:jc w:val="left"/>
        <w:rPr>
          <w:sz w:val="19"/>
        </w:rPr>
      </w:pPr>
      <w:r>
        <w:rPr>
          <w:w w:val="105"/>
          <w:sz w:val="19"/>
        </w:rPr>
        <w:t>Espace de parcage invisible derrière la porte pivotante ou façades d’armoires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parquées visiblement en tant qu’élément 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design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9" w:lineRule="auto" w:before="2" w:after="0"/>
        <w:ind w:left="2626" w:right="517" w:hanging="166"/>
        <w:jc w:val="left"/>
        <w:rPr>
          <w:sz w:val="19"/>
        </w:rPr>
      </w:pPr>
      <w:r>
        <w:rPr>
          <w:w w:val="105"/>
          <w:sz w:val="19"/>
        </w:rPr>
        <w:t>Espace de parcage invisible derrière la porte pivotante, une garniture de porte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pivotante supplémentaire doit être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commandée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669922pt;width:257.4pt;height:35.2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5638439</wp:posOffset>
          </wp:positionH>
          <wp:positionV relativeFrom="page">
            <wp:posOffset>827043</wp:posOffset>
          </wp:positionV>
          <wp:extent cx="105495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95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15pt;height:13.9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GL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1" w:hanging="15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21" w:hanging="160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2023-06-30T13:02:46Z</dcterms:created>
  <dcterms:modified xsi:type="dcterms:W3CDTF">2023-06-30T13:02:46Z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