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1.95pt;mso-position-horizontal-relative:page;mso-position-vertical-relative:page;z-index:-6904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coordorigin="62,7976" coordsize="11783,539" path="m11845,7976l11289,7976,7615,7976,2897,7976,62,7976,62,8514,2897,8514,7615,8514,11289,8514,11845,8514,11845,7976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 style="position:absolute;left:572;top:2243;width:999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 Montage au plafond. À ouverture totale.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6237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Développée spécialement pour les cloisons légères pesant jusqu'à 60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kg, permettant des pièces visibles de plus petites dimensions</w:t>
                    </w:r>
                  </w:p>
                </w:txbxContent>
              </v:textbox>
              <w10:wrap type="none"/>
            </v:shape>
            <v:shape style="position:absolute;left:3464;top:4250;width:7258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Productivité</w:t>
                      <w:tab/>
                    </w:r>
                    <w:r>
                      <w:rPr>
                        <w:position w:val="1"/>
                        <w:sz w:val="20"/>
                      </w:rPr>
                      <w:t>Commander l’installation complète avec trois à quatre</w:t>
                    </w:r>
                    <w:r>
                      <w:rPr>
                        <w:spacing w:val="-2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références</w:t>
                    </w:r>
                  </w:p>
                </w:txbxContent>
              </v:textbox>
              <w10:wrap type="none"/>
            </v:shape>
            <v:shape style="position:absolute;left:572;top:4931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 Hauteur de la porte Max. Largeur de porte Hauteur max. d`ouverture Réglage en hauteur Amortissement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Materiau de la porte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4931;width:170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13600 mm</w:t>
                    </w:r>
                  </w:p>
                  <w:p>
                    <w:pPr>
                      <w:spacing w:line="261" w:lineRule="auto" w:before="22"/>
                      <w:ind w:left="0" w:right="8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anodisé</w:t>
                    </w:r>
                  </w:p>
                </w:txbxContent>
              </v:textbox>
              <w10:wrap type="none"/>
            </v:shape>
            <v:shape style="position:absolute;left:572;top:7522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510;width:1818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 roulement en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510;width:325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304;width:5927;height:710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304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line="242" w:lineRule="auto" w:before="49"/>
        <w:ind w:left="2461" w:right="67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113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Aperto 60 H composée d’un rail de roulement avec coude pour l’espace de parcage (aluminium</w:t>
      </w:r>
      <w:r>
        <w:rPr>
          <w:spacing w:val="-3"/>
        </w:rPr>
        <w:t> </w:t>
      </w:r>
      <w:r>
        <w:rPr/>
        <w:t>épaisseur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4"/>
        </w:rPr>
        <w:t> </w:t>
      </w:r>
      <w:r>
        <w:rPr/>
        <w:t>2,8</w:t>
      </w:r>
      <w:r>
        <w:rPr>
          <w:spacing w:val="-4"/>
        </w:rPr>
        <w:t> </w:t>
      </w:r>
      <w:r>
        <w:rPr/>
        <w:t>mm)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parties,</w:t>
      </w:r>
      <w:r>
        <w:rPr>
          <w:spacing w:val="-3"/>
        </w:rPr>
        <w:t> </w:t>
      </w:r>
      <w:r>
        <w:rPr/>
        <w:t>pattes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</w:t>
      </w:r>
      <w:r>
        <w:rPr>
          <w:spacing w:val="-3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galets à roulement à billes, profil de support avec chariot de</w:t>
      </w:r>
      <w:r>
        <w:rPr>
          <w:spacing w:val="-12"/>
        </w:rPr>
        <w:t> </w:t>
      </w:r>
      <w:r>
        <w:rPr/>
        <w:t>suspension,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Profil</w:t>
      </w:r>
      <w:r>
        <w:rPr>
          <w:spacing w:val="-5"/>
        </w:rPr>
        <w:t> </w:t>
      </w:r>
      <w:r>
        <w:rPr/>
        <w:t>d'étanchéité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Profil de</w:t>
      </w:r>
      <w:r>
        <w:rPr>
          <w:spacing w:val="-5"/>
        </w:rPr>
        <w:t> </w:t>
      </w:r>
      <w:r>
        <w:rPr/>
        <w:t>protège-arête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Guidage en</w:t>
      </w:r>
      <w:r>
        <w:rPr>
          <w:spacing w:val="-4"/>
        </w:rPr>
        <w:t> </w:t>
      </w:r>
      <w:r>
        <w:rPr/>
        <w:t>bas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Profil de guidage au</w:t>
      </w:r>
      <w:r>
        <w:rPr>
          <w:spacing w:val="-6"/>
        </w:rPr>
        <w:t> </w:t>
      </w:r>
      <w:r>
        <w:rPr/>
        <w:t>sol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Serrure à un</w:t>
      </w:r>
      <w:r>
        <w:rPr>
          <w:spacing w:val="-4"/>
        </w:rPr>
        <w:t> </w:t>
      </w:r>
      <w:r>
        <w:rPr/>
        <w:t>boulon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Poignée</w:t>
      </w:r>
      <w:r>
        <w:rPr>
          <w:spacing w:val="-3"/>
        </w:rPr>
        <w:t> </w:t>
      </w:r>
      <w:r>
        <w:rPr/>
        <w:t>pivotante</w:t>
      </w:r>
    </w:p>
    <w:p>
      <w:pPr>
        <w:spacing w:after="0" w:line="23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Interfaces</w:t>
        <w:tab/>
      </w:r>
      <w:r>
        <w:rPr/>
        <w:t>Panneau de</w:t>
      </w:r>
      <w:r>
        <w:rPr>
          <w:spacing w:val="-2"/>
        </w:rPr>
        <w:t> </w:t>
      </w:r>
      <w:r>
        <w:rPr/>
        <w:t>porte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3" w:after="0"/>
        <w:ind w:left="2627" w:right="0" w:hanging="167"/>
        <w:jc w:val="left"/>
        <w:rPr>
          <w:sz w:val="20"/>
        </w:rPr>
      </w:pPr>
      <w:r>
        <w:rPr>
          <w:sz w:val="20"/>
        </w:rPr>
        <w:t>Encoche pour profil porteur (H x l) 25 x 20</w:t>
      </w:r>
      <w:r>
        <w:rPr>
          <w:spacing w:val="-1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1" w:after="0"/>
        <w:ind w:left="2627" w:right="0" w:hanging="167"/>
        <w:jc w:val="left"/>
        <w:rPr>
          <w:sz w:val="20"/>
        </w:rPr>
      </w:pPr>
      <w:r>
        <w:rPr>
          <w:sz w:val="20"/>
        </w:rPr>
        <w:t>Fixation des profils porteurs par</w:t>
      </w:r>
      <w:r>
        <w:rPr>
          <w:spacing w:val="-6"/>
          <w:sz w:val="20"/>
        </w:rPr>
        <w:t> </w:t>
      </w:r>
      <w:r>
        <w:rPr>
          <w:sz w:val="20"/>
        </w:rPr>
        <w:t>vis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0" w:after="0"/>
        <w:ind w:left="2627" w:right="0" w:hanging="167"/>
        <w:jc w:val="left"/>
        <w:rPr>
          <w:sz w:val="20"/>
        </w:rPr>
      </w:pPr>
      <w:r>
        <w:rPr>
          <w:sz w:val="20"/>
        </w:rPr>
        <w:t>Encoche pour pièce de guidage en bas (H × l) 25 × 20 mm (en</w:t>
      </w:r>
      <w:r>
        <w:rPr>
          <w:spacing w:val="-22"/>
          <w:sz w:val="20"/>
        </w:rPr>
        <w:t> </w:t>
      </w:r>
      <w:r>
        <w:rPr>
          <w:sz w:val="20"/>
        </w:rPr>
        <w:t>option)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2617" w:val="left" w:leader="none"/>
        </w:tabs>
        <w:spacing w:line="238" w:lineRule="exact" w:before="0" w:after="0"/>
        <w:ind w:left="2627" w:right="0" w:hanging="167"/>
        <w:jc w:val="left"/>
      </w:pPr>
      <w:r>
        <w:rPr/>
        <w:t>Espace de</w:t>
      </w:r>
      <w:r>
        <w:rPr>
          <w:spacing w:val="-3"/>
        </w:rPr>
        <w:t> </w:t>
      </w:r>
      <w:r>
        <w:rPr/>
        <w:t>parcage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0" w:after="0"/>
        <w:ind w:left="2627" w:right="854" w:hanging="167"/>
        <w:jc w:val="left"/>
        <w:rPr>
          <w:sz w:val="20"/>
        </w:rPr>
      </w:pPr>
      <w:r>
        <w:rPr>
          <w:sz w:val="20"/>
        </w:rPr>
        <w:t>Espace de parcage parallèle à l’axe de coulissement ou à 90° par rapport à l’axe de coulissement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2" w:after="0"/>
        <w:ind w:left="2626" w:right="557" w:hanging="166"/>
        <w:jc w:val="left"/>
        <w:rPr>
          <w:sz w:val="20"/>
        </w:rPr>
      </w:pPr>
      <w:r>
        <w:rPr>
          <w:sz w:val="20"/>
        </w:rPr>
        <w:t>Espace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parcage</w:t>
      </w:r>
      <w:r>
        <w:rPr>
          <w:spacing w:val="-4"/>
          <w:sz w:val="20"/>
        </w:rPr>
        <w:t> </w:t>
      </w:r>
      <w:r>
        <w:rPr>
          <w:sz w:val="20"/>
        </w:rPr>
        <w:t>invisible</w:t>
      </w:r>
      <w:r>
        <w:rPr>
          <w:spacing w:val="-3"/>
          <w:sz w:val="20"/>
        </w:rPr>
        <w:t> </w:t>
      </w:r>
      <w:r>
        <w:rPr>
          <w:sz w:val="20"/>
        </w:rPr>
        <w:t>derrière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porte</w:t>
      </w:r>
      <w:r>
        <w:rPr>
          <w:spacing w:val="-3"/>
          <w:sz w:val="20"/>
        </w:rPr>
        <w:t> </w:t>
      </w:r>
      <w:r>
        <w:rPr>
          <w:sz w:val="20"/>
        </w:rPr>
        <w:t>pivotante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façades</w:t>
      </w:r>
      <w:r>
        <w:rPr>
          <w:spacing w:val="-3"/>
          <w:sz w:val="20"/>
        </w:rPr>
        <w:t> </w:t>
      </w:r>
      <w:r>
        <w:rPr>
          <w:sz w:val="20"/>
        </w:rPr>
        <w:t>d’armoires</w:t>
      </w:r>
      <w:r>
        <w:rPr>
          <w:spacing w:val="-4"/>
          <w:sz w:val="20"/>
        </w:rPr>
        <w:t> </w:t>
      </w:r>
      <w:r>
        <w:rPr>
          <w:sz w:val="20"/>
        </w:rPr>
        <w:t>parquées visiblement en tant qu’élément de</w:t>
      </w:r>
      <w:r>
        <w:rPr>
          <w:spacing w:val="-6"/>
          <w:sz w:val="20"/>
        </w:rPr>
        <w:t> </w:t>
      </w:r>
      <w:r>
        <w:rPr>
          <w:sz w:val="20"/>
        </w:rPr>
        <w:t>design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1" w:after="0"/>
        <w:ind w:left="2626" w:right="520" w:hanging="166"/>
        <w:jc w:val="left"/>
        <w:rPr>
          <w:sz w:val="20"/>
        </w:rPr>
      </w:pPr>
      <w:r>
        <w:rPr>
          <w:sz w:val="20"/>
        </w:rPr>
        <w:t>Espace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parcage</w:t>
      </w:r>
      <w:r>
        <w:rPr>
          <w:spacing w:val="-4"/>
          <w:sz w:val="20"/>
        </w:rPr>
        <w:t> </w:t>
      </w:r>
      <w:r>
        <w:rPr>
          <w:sz w:val="20"/>
        </w:rPr>
        <w:t>invisible</w:t>
      </w:r>
      <w:r>
        <w:rPr>
          <w:spacing w:val="-3"/>
          <w:sz w:val="20"/>
        </w:rPr>
        <w:t> </w:t>
      </w:r>
      <w:r>
        <w:rPr>
          <w:sz w:val="20"/>
        </w:rPr>
        <w:t>derrière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pivotante,</w:t>
      </w:r>
      <w:r>
        <w:rPr>
          <w:spacing w:val="-3"/>
          <w:sz w:val="20"/>
        </w:rPr>
        <w:t> </w:t>
      </w:r>
      <w:r>
        <w:rPr>
          <w:sz w:val="20"/>
        </w:rPr>
        <w:t>une</w:t>
      </w:r>
      <w:r>
        <w:rPr>
          <w:spacing w:val="-4"/>
          <w:sz w:val="20"/>
        </w:rPr>
        <w:t> </w:t>
      </w:r>
      <w:r>
        <w:rPr>
          <w:sz w:val="20"/>
        </w:rPr>
        <w:t>garniture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pivotante supplémentaire doit être</w:t>
      </w:r>
      <w:r>
        <w:rPr>
          <w:spacing w:val="-4"/>
          <w:sz w:val="20"/>
        </w:rPr>
        <w:t> </w:t>
      </w:r>
      <w:r>
        <w:rPr>
          <w:sz w:val="20"/>
        </w:rPr>
        <w:t>commandée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9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6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87">
          <wp:simplePos x="0" y="0"/>
          <wp:positionH relativeFrom="page">
            <wp:posOffset>5735654</wp:posOffset>
          </wp:positionH>
          <wp:positionV relativeFrom="page">
            <wp:posOffset>827043</wp:posOffset>
          </wp:positionV>
          <wp:extent cx="105495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495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194pt;width:27.05pt;height:13.95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27" w:hanging="167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2023-06-30T13:35:19Z</dcterms:created>
  <dcterms:modified xsi:type="dcterms:W3CDTF">2023-06-30T13:35:19Z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