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id="docshape44" coordorigin="62,8157" coordsize="11783,539" path="m11845,8157l11289,8157,7615,8157,2897,8157,62,8157,62,8696,2897,8696,7615,8696,11289,8696,11845,8696,11845,8157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617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parois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pliantes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coulissantes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rail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6353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Profil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retenue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droit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arrondi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exigences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3464;top:4256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250;width:5314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combinée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Hawa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Variotec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profils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identiques</w:t>
                    </w:r>
                  </w:p>
                </w:txbxContent>
              </v:textbox>
              <w10:wrap type="none"/>
            </v:shape>
            <v:shape style="position:absolute;left:572;top:5112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12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10–12.7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2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448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37;width:2639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37;width:325;height:70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6;width:5928;height:454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29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moyenne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semi-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public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486;width:325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179"/>
        <w:ind w:left="2461" w:right="99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68859</w:t>
      </w:r>
      <w:r>
        <w:rPr>
          <w:spacing w:val="-4"/>
        </w:rPr>
        <w:t> </w:t>
      </w:r>
      <w:r>
        <w:rPr/>
        <w:t>/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fonctionnement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09" w:hanging="2349"/>
      </w:pPr>
      <w:r>
        <w:rPr>
          <w:b/>
          <w:position w:val="1"/>
        </w:rPr>
        <w:t>Version du produit</w:t>
        <w:tab/>
      </w:r>
      <w:r>
        <w:rPr/>
        <w:t>Hawa Centerfold 80 GV composé d'un rail de roulement (épaisseur de la paroi en aluminium 3,0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sabot,</w:t>
      </w:r>
      <w:r>
        <w:rPr>
          <w:spacing w:val="-4"/>
        </w:rPr>
        <w:t> </w:t>
      </w:r>
      <w:r>
        <w:rPr/>
        <w:t>profils</w:t>
      </w:r>
      <w:r>
        <w:rPr>
          <w:spacing w:val="-3"/>
        </w:rPr>
        <w:t> </w:t>
      </w:r>
      <w:r>
        <w:rPr/>
        <w:t>porteurs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porte-verres,</w:t>
      </w:r>
      <w:r>
        <w:rPr>
          <w:spacing w:val="-4"/>
        </w:rPr>
        <w:t> </w:t>
      </w:r>
      <w:r>
        <w:rPr/>
        <w:t>pivot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haut, charnières, butée d’arrêt, Falt-und Drehtürschnäpper, serrure à pêne, douille de sol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Tige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manivelle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0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561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10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5364799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91748pt;margin-top:68.660667pt;width:34.8pt;height:13.9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GV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3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2023-03-06T14:56:17Z</dcterms:created>
  <dcterms:modified xsi:type="dcterms:W3CDTF">2023-03-06T14:56:17Z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2023-03-06T00:00:00Z</vt:filetime>
  </property>
  <property fmtid="{D5CDD505-2E9C-101B-9397-08002B2CF9AE}" pid="5" name="Producer">
    <vt:lpwstr>wPDF4 x64 by WPCubed GmbH</vt:lpwstr>
  </property>
</Properties>
</file>