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1"/>
        <w:rPr>
          <w:rFonts w:ascii="Times New Roman"/>
          <w:sz w:val="16"/>
        </w:rPr>
      </w:pPr>
    </w:p>
    <w:p>
      <w:pPr>
        <w:spacing w:after="0"/>
        <w:rPr>
          <w:rFonts w:ascii="Times New Roman"/>
          <w:sz w:val="16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480"/>
          <w:pgNumType w:start="1"/>
        </w:sectPr>
      </w:pPr>
    </w:p>
    <w:p>
      <w:pPr>
        <w:spacing w:before="86"/>
        <w:ind w:left="112" w:right="0" w:firstLine="0"/>
        <w:jc w:val="left"/>
        <w:rPr>
          <w:b/>
          <w:sz w:val="20"/>
        </w:rPr>
      </w:pPr>
      <w:r>
        <w:rPr/>
        <w:pict>
          <v:group style="position:absolute;margin-left:3.118575pt;margin-top:99.139702pt;width:589.15pt;height:315.850pt;mso-position-horizontal-relative:page;mso-position-vertical-relative:page;z-index:15728640" id="docshapegroup4" coordorigin="62,1983" coordsize="11783,6317">
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<v:path arrowok="t"/>
              <v:fill type="solid"/>
            </v:shape>
            <v:rect style="position:absolute;left:572;top:3315;width:681;height:29" id="docshape6" filled="true" fillcolor="#ff0000" stroked="false">
              <v:fill type="solid"/>
            </v:rect>
            <v:shape style="position:absolute;left:62;top:3315;width:11783;height:777" id="docshape7" coordorigin="62,3315" coordsize="11783,777" path="m11845,3315l1253,3315,1253,3344,62,3344,62,4092,2897,4092,3464,4092,3464,3344,11845,3344,11845,3315xe" filled="true" fillcolor="#f4f4f4" stroked="false">
              <v:path arrowok="t"/>
              <v:fill type="solid"/>
            </v:shape>
            <v:shape style="position:absolute;left:2942;top:3400;width:420;height:454" type="#_x0000_t75" id="docshape8" stroked="false">
              <v:imagedata r:id="rId7" o:title=""/>
            </v:shape>
            <v:shape style="position:absolute;left:62;top:3343;width:11766;height:1441" id="docshape9" coordorigin="62,3344" coordsize="11766,1441" path="m3464,4092l2897,4092,62,4092,62,4784,2897,4784,3464,4784,3464,4092xm11828,3344l11289,3344,4882,3344,3464,3344,3464,4092,4882,4092,11289,4092,11828,4092,11828,3344xe" filled="true" fillcolor="#f4f4f4" stroked="false">
              <v:path arrowok="t"/>
              <v:fill type="solid"/>
            </v:shape>
            <v:shape style="position:absolute;left:2942;top:4148;width:420;height:454" type="#_x0000_t75" id="docshape10" stroked="false">
              <v:imagedata r:id="rId8" o:title=""/>
            </v:shape>
            <v:shape style="position:absolute;left:62;top:4091;width:11783;height:1231" id="docshape11" coordorigin="62,4092" coordsize="11783,1231" path="m11845,4784l11834,4784,11834,4092,11119,4092,4882,4092,3464,4092,3464,4784,2897,4784,62,4784,62,5322,2897,5322,7615,5322,11289,5322,11845,5322,11845,4784xe" filled="true" fillcolor="#f4f4f4" stroked="false">
              <v:path arrowok="t"/>
              <v:fill type="solid"/>
            </v:shape>
            <v:rect style="position:absolute;left:2897;top:5299;width:4718;height:23" id="docshape12" filled="true" fillcolor="#dcdcdc" stroked="false">
              <v:fill type="solid"/>
            </v:rect>
            <v:line style="position:absolute" from="2909,5311" to="7604,5311" stroked="true" strokeweight="0pt" strokecolor="#dcdcdc">
              <v:stroke dashstyle="solid"/>
            </v:line>
            <v:rect style="position:absolute;left:7615;top:5299;width:3675;height:23" id="docshape13" filled="true" fillcolor="#dcdcdc" stroked="false">
              <v:fill type="solid"/>
            </v:rect>
            <v:line style="position:absolute" from="7626,5311" to="11278,5311" stroked="true" strokeweight="0pt" strokecolor="#dcdcdc">
              <v:stroke dashstyle="solid"/>
            </v:line>
            <v:shape style="position:absolute;left:62;top:5322;width:11783;height:256" id="docshape14" coordorigin="62,5322" coordsize="11783,256" path="m11845,5322l11289,5322,7615,5322,2897,5322,62,5322,62,5577,2897,5577,7615,5577,11289,5577,11845,5577,11845,5322xe" filled="true" fillcolor="#f4f4f4" stroked="false">
              <v:path arrowok="t"/>
              <v:fill type="solid"/>
            </v:shape>
            <v:rect style="position:absolute;left:2897;top:5554;width:4718;height:23" id="docshape15" filled="true" fillcolor="#dcdcdc" stroked="false">
              <v:fill type="solid"/>
            </v:rect>
            <v:line style="position:absolute" from="2909,5566" to="7604,5566" stroked="true" strokeweight="0pt" strokecolor="#dcdcdc">
              <v:stroke dashstyle="solid"/>
            </v:line>
            <v:rect style="position:absolute;left:7615;top:5554;width:3675;height:23" id="docshape16" filled="true" fillcolor="#dcdcdc" stroked="false">
              <v:fill type="solid"/>
            </v:rect>
            <v:line style="position:absolute" from="7626,5566" to="11278,5566" stroked="true" strokeweight="0pt" strokecolor="#dcdcdc">
              <v:stroke dashstyle="solid"/>
            </v:line>
            <v:shape style="position:absolute;left:62;top:5577;width:11783;height:256" id="docshape17" coordorigin="62,5577" coordsize="11783,256" path="m11845,5577l11289,5577,7615,5577,2897,5577,62,5577,62,5833,2897,5833,7615,5833,11289,5833,11845,5833,11845,5577xe" filled="true" fillcolor="#f4f4f4" stroked="false">
              <v:path arrowok="t"/>
              <v:fill type="solid"/>
            </v:shape>
            <v:rect style="position:absolute;left:2897;top:5809;width:4718;height:23" id="docshape18" filled="true" fillcolor="#dcdcdc" stroked="false">
              <v:fill type="solid"/>
            </v:rect>
            <v:line style="position:absolute" from="2909,5821" to="7604,5821" stroked="true" strokeweight="0pt" strokecolor="#dcdcdc">
              <v:stroke dashstyle="solid"/>
            </v:line>
            <v:rect style="position:absolute;left:7615;top:5809;width:3675;height:23" id="docshape19" filled="true" fillcolor="#dcdcdc" stroked="false">
              <v:fill type="solid"/>
            </v:rect>
            <v:line style="position:absolute" from="7626,5821" to="11278,5821" stroked="true" strokeweight="0pt" strokecolor="#dcdcdc">
              <v:stroke dashstyle="solid"/>
            </v:line>
            <v:shape style="position:absolute;left:62;top:5832;width:11783;height:256" id="docshape20" coordorigin="62,5833" coordsize="11783,256" path="m11845,5833l11289,5833,7615,5833,2897,5833,62,5833,62,6088,2897,6088,7615,6088,11289,6088,11845,6088,11845,5833xe" filled="true" fillcolor="#f4f4f4" stroked="false">
              <v:path arrowok="t"/>
              <v:fill type="solid"/>
            </v:shape>
            <v:rect style="position:absolute;left:2897;top:6064;width:4718;height:23" id="docshape21" filled="true" fillcolor="#dcdcdc" stroked="false">
              <v:fill type="solid"/>
            </v:rect>
            <v:line style="position:absolute" from="2909,6076" to="7604,6076" stroked="true" strokeweight="0pt" strokecolor="#dcdcdc">
              <v:stroke dashstyle="solid"/>
            </v:line>
            <v:rect style="position:absolute;left:7615;top:6064;width:3675;height:23" id="docshape22" filled="true" fillcolor="#dcdcdc" stroked="false">
              <v:fill type="solid"/>
            </v:rect>
            <v:line style="position:absolute" from="7626,6076" to="11278,6076" stroked="true" strokeweight="0pt" strokecolor="#dcdcdc">
              <v:stroke dashstyle="solid"/>
            </v:line>
            <v:shape style="position:absolute;left:62;top:6087;width:11783;height:256" id="docshape23" coordorigin="62,6088" coordsize="11783,256" path="m11845,6088l11289,6088,7615,6088,2897,6088,62,6088,62,6343,2897,6343,7615,6343,11289,6343,11845,6343,11845,6088xe" filled="true" fillcolor="#f4f4f4" stroked="false">
              <v:path arrowok="t"/>
              <v:fill type="solid"/>
            </v:shape>
            <v:rect style="position:absolute;left:2897;top:6320;width:4718;height:23" id="docshape24" filled="true" fillcolor="#dcdcdc" stroked="false">
              <v:fill type="solid"/>
            </v:rect>
            <v:line style="position:absolute" from="2909,6331" to="7604,6331" stroked="true" strokeweight="0pt" strokecolor="#dcdcdc">
              <v:stroke dashstyle="solid"/>
            </v:line>
            <v:rect style="position:absolute;left:7615;top:6320;width:3675;height:23" id="docshape25" filled="true" fillcolor="#dcdcdc" stroked="false">
              <v:fill type="solid"/>
            </v:rect>
            <v:line style="position:absolute" from="7626,6331" to="11278,6331" stroked="true" strokeweight="0pt" strokecolor="#dcdcdc">
              <v:stroke dashstyle="solid"/>
            </v:line>
            <v:shape style="position:absolute;left:62;top:6342;width:11783;height:256" id="docshape26" coordorigin="62,6343" coordsize="11783,256" path="m11845,6343l11289,6343,7615,6343,2897,6343,62,6343,62,6598,2897,6598,7615,6598,11289,6598,11845,6598,11845,6343xe" filled="true" fillcolor="#f4f4f4" stroked="false">
              <v:path arrowok="t"/>
              <v:fill type="solid"/>
            </v:shape>
            <v:rect style="position:absolute;left:2897;top:6575;width:4718;height:23" id="docshape27" filled="true" fillcolor="#dcdcdc" stroked="false">
              <v:fill type="solid"/>
            </v:rect>
            <v:line style="position:absolute" from="2909,6587" to="7604,6587" stroked="true" strokeweight="0pt" strokecolor="#dcdcdc">
              <v:stroke dashstyle="solid"/>
            </v:line>
            <v:rect style="position:absolute;left:7615;top:6575;width:3675;height:23" id="docshape28" filled="true" fillcolor="#dcdcdc" stroked="false">
              <v:fill type="solid"/>
            </v:rect>
            <v:line style="position:absolute" from="7626,6587" to="11278,6587" stroked="true" strokeweight="0pt" strokecolor="#dcdcdc">
              <v:stroke dashstyle="solid"/>
            </v:line>
            <v:shape style="position:absolute;left:62;top:6597;width:11783;height:256" id="docshape29" coordorigin="62,6598" coordsize="11783,256" path="m11845,6598l11289,6598,7615,6598,2897,6598,62,6598,62,6853,2897,6853,7615,6853,11289,6853,11845,6853,11845,6598xe" filled="true" fillcolor="#f4f4f4" stroked="false">
              <v:path arrowok="t"/>
              <v:fill type="solid"/>
            </v:shape>
            <v:rect style="position:absolute;left:2897;top:6830;width:4718;height:23" id="docshape30" filled="true" fillcolor="#dcdcdc" stroked="false">
              <v:fill type="solid"/>
            </v:rect>
            <v:line style="position:absolute" from="2909,6842" to="7604,6842" stroked="true" strokeweight="0pt" strokecolor="#dcdcdc">
              <v:stroke dashstyle="solid"/>
            </v:line>
            <v:rect style="position:absolute;left:7615;top:6830;width:3675;height:23" id="docshape31" filled="true" fillcolor="#dcdcdc" stroked="false">
              <v:fill type="solid"/>
            </v:rect>
            <v:line style="position:absolute" from="7626,6842" to="11278,6842" stroked="true" strokeweight="0pt" strokecolor="#dcdcdc">
              <v:stroke dashstyle="solid"/>
            </v:line>
            <v:shape style="position:absolute;left:62;top:6853;width:11783;height:539" id="docshape32" coordorigin="62,6853" coordsize="11783,539" path="m11845,6853l11289,6853,7615,6853,2897,6853,62,6853,62,7392,2897,7392,7615,7392,11289,7392,11845,7392,11845,6853xe" filled="true" fillcolor="#f4f4f4" stroked="false">
              <v:path arrowok="t"/>
              <v:fill type="solid"/>
            </v:shape>
            <v:rect style="position:absolute;left:2897;top:7369;width:4718;height:23" id="docshape33" filled="true" fillcolor="#dcdcdc" stroked="false">
              <v:fill type="solid"/>
            </v:rect>
            <v:line style="position:absolute" from="2909,7380" to="7604,7380" stroked="true" strokeweight="0pt" strokecolor="#dcdcdc">
              <v:stroke dashstyle="solid"/>
            </v:line>
            <v:rect style="position:absolute;left:7615;top:7369;width:3675;height:23" id="docshape34" filled="true" fillcolor="#dcdcdc" stroked="false">
              <v:fill type="solid"/>
            </v:rect>
            <v:line style="position:absolute" from="7626,7380" to="11278,7380" stroked="true" strokeweight="0pt" strokecolor="#dcdcdc">
              <v:stroke dashstyle="solid"/>
            </v:line>
            <v:shape style="position:absolute;left:62;top:7391;width:11783;height:256" id="docshape35" coordorigin="62,7392" coordsize="11783,256" path="m11845,7392l11289,7392,7615,7392,2897,7392,62,7392,62,7647,2897,7647,7615,7647,11289,7647,11845,7647,11845,7392xe" filled="true" fillcolor="#f4f4f4" stroked="false">
              <v:path arrowok="t"/>
              <v:fill type="solid"/>
            </v:shape>
            <v:rect style="position:absolute;left:2897;top:7624;width:4718;height:23" id="docshape36" filled="true" fillcolor="#dcdcdc" stroked="false">
              <v:fill type="solid"/>
            </v:rect>
            <v:line style="position:absolute" from="2909,7635" to="7604,7635" stroked="true" strokeweight="0pt" strokecolor="#dcdcdc">
              <v:stroke dashstyle="solid"/>
            </v:line>
            <v:rect style="position:absolute;left:7615;top:7624;width:3675;height:23" id="docshape37" filled="true" fillcolor="#dcdcdc" stroked="false">
              <v:fill type="solid"/>
            </v:rect>
            <v:line style="position:absolute" from="7626,7635" to="11278,7635" stroked="true" strokeweight="0pt" strokecolor="#dcdcdc">
              <v:stroke dashstyle="solid"/>
            </v:line>
            <v:shape style="position:absolute;left:62;top:7646;width:11783;height:256" id="docshape38" coordorigin="62,7647" coordsize="11783,256" path="m11845,7647l11289,7647,7615,7647,2897,7647,62,7647,62,7902,2897,7902,7615,7902,11289,7902,11845,7902,11845,7647xe" filled="true" fillcolor="#f4f4f4" stroked="false">
              <v:path arrowok="t"/>
              <v:fill type="solid"/>
            </v:shape>
            <v:rect style="position:absolute;left:2897;top:7879;width:4718;height:23" id="docshape39" filled="true" fillcolor="#dcdcdc" stroked="false">
              <v:fill type="solid"/>
            </v:rect>
            <v:line style="position:absolute" from="2909,7891" to="7604,7891" stroked="true" strokeweight="0pt" strokecolor="#dcdcdc">
              <v:stroke dashstyle="solid"/>
            </v:line>
            <v:rect style="position:absolute;left:7615;top:7879;width:3675;height:23" id="docshape40" filled="true" fillcolor="#dcdcdc" stroked="false">
              <v:fill type="solid"/>
            </v:rect>
            <v:line style="position:absolute" from="7626,7891" to="11278,7891" stroked="true" strokeweight="0pt" strokecolor="#dcdcdc">
              <v:stroke dashstyle="solid"/>
            </v:line>
            <v:rect style="position:absolute;left:62;top:7901;width:11772;height:397" id="docshape41" filled="true" fillcolor="#f4f4f4" stroked="false">
              <v:fill type="solid"/>
            </v:rect>
            <v:shape style="position:absolute;left:572;top:2243;width:10407;height:522" type="#_x0000_t202" id="docshape4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Ferrure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pour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pivoter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et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escamoter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latéralement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des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portes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bois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jusqu'à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30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kg.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Permet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un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aménagement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intérieur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multifonctionnel,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associé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à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un</w:t>
                    </w:r>
                    <w:r>
                      <w:rPr>
                        <w:b/>
                        <w:color w:val="003C78"/>
                        <w:spacing w:val="-1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design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affleurant.</w:t>
                    </w:r>
                  </w:p>
                </w:txbxContent>
              </v:textbox>
              <w10:wrap type="none"/>
            </v:shape>
            <v:shape style="position:absolute;left:572;top:3508;width:1420;height:199" type="#_x0000_t202" id="docshape43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Produit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phares</w:t>
                    </w:r>
                  </w:p>
                </w:txbxContent>
              </v:textbox>
              <w10:wrap type="none"/>
            </v:shape>
            <v:shape style="position:absolute;left:3464;top:3508;width:917;height:199" type="#_x0000_t202" id="docshape44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Flexibilité</w:t>
                    </w:r>
                  </w:p>
                </w:txbxContent>
              </v:textbox>
              <w10:wrap type="none"/>
            </v:shape>
            <v:shape style="position:absolute;left:4881;top:3502;width:5394;height:432" type="#_x0000_t202" id="docshape45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Dimensions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porte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flexible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permet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une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grande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liberté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de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conception</w:t>
                    </w:r>
                  </w:p>
                </w:txbxContent>
              </v:textbox>
              <w10:wrap type="none"/>
            </v:shape>
            <v:shape style="position:absolute;left:3464;top:4256;width:748;height:199" type="#_x0000_t202" id="docshape46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Confort</w:t>
                    </w:r>
                  </w:p>
                </w:txbxContent>
              </v:textbox>
              <w10:wrap type="none"/>
            </v:shape>
            <v:shape style="position:absolute;left:4881;top:4250;width:5782;height:432" type="#_x0000_t202" id="docshape47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Manipulation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simple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silencieuse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grâce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à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amortisseur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et</w:t>
                    </w:r>
                    <w:r>
                      <w:rPr>
                        <w:spacing w:val="-5"/>
                        <w:sz w:val="20"/>
                      </w:rPr>
                      <w:t> aux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charnières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avec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amortisseur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fermeture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intégré</w:t>
                    </w:r>
                  </w:p>
                </w:txbxContent>
              </v:textbox>
              <w10:wrap type="none"/>
            </v:shape>
            <v:shape style="position:absolute;left:572;top:5072;width:4238;height:1770" type="#_x0000_t202" id="docshape48" filled="false" stroked="false">
              <v:textbox inset="0,0,0,0">
                <w:txbxContent>
                  <w:p>
                    <w:pPr>
                      <w:tabs>
                        <w:tab w:pos="2322" w:val="left" w:leader="none"/>
                      </w:tabs>
                      <w:spacing w:line="23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Consignes</w:t>
                    </w:r>
                    <w:r>
                      <w:rPr>
                        <w:b/>
                        <w:spacing w:val="-12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techniques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>Poids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porte</w:t>
                    </w:r>
                  </w:p>
                  <w:p>
                    <w:pPr>
                      <w:spacing w:line="261" w:lineRule="auto" w:before="7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Épaisseur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porte Hauteur de la porte Largeur de porte Réglage en hauteur </w:t>
                    </w:r>
                    <w:r>
                      <w:rPr>
                        <w:spacing w:val="-2"/>
                        <w:sz w:val="20"/>
                      </w:rPr>
                      <w:t>Amortissement </w:t>
                    </w:r>
                    <w:r>
                      <w:rPr>
                        <w:sz w:val="20"/>
                      </w:rPr>
                      <w:t>Matérielle de porte</w:t>
                    </w:r>
                  </w:p>
                </w:txbxContent>
              </v:textbox>
              <w10:wrap type="none"/>
            </v:shape>
            <v:shape style="position:absolute;left:7615;top:5112;width:1397;height:1730" type="#_x0000_t202" id="docshape49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15–30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19–50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1851–2300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pacing w:val="-7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300–900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pacing w:val="-7"/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22"/>
                      <w:ind w:left="0" w:right="32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3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 </w:t>
                    </w:r>
                    <w:r>
                      <w:rPr>
                        <w:spacing w:val="-4"/>
                        <w:sz w:val="20"/>
                      </w:rPr>
                      <w:t>Oui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Bois</w:t>
                    </w:r>
                  </w:p>
                </w:txbxContent>
              </v:textbox>
              <w10:wrap type="none"/>
            </v:shape>
            <v:shape style="position:absolute;left:572;top:7181;width:5927;height:710" type="#_x0000_t202" id="docshape50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Suggestion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d`utilisation</w:t>
                    </w:r>
                    <w:r>
                      <w:rPr>
                        <w:b/>
                        <w:spacing w:val="3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Utilisation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légère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/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Accès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privé</w:t>
                    </w:r>
                  </w:p>
                  <w:p>
                    <w:pPr>
                      <w:spacing w:line="261" w:lineRule="auto"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moyenne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Accès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semi-public Utilisation élevée / Accès public</w:t>
                    </w:r>
                  </w:p>
                </w:txbxContent>
              </v:textbox>
              <w10:wrap type="none"/>
            </v:shape>
            <v:shape style="position:absolute;left:7615;top:7181;width:325;height:710" type="#_x0000_t202" id="docshape51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0"/>
        </w:rPr>
        <w:t>Tests</w:t>
      </w:r>
      <w:r>
        <w:rPr>
          <w:b/>
          <w:spacing w:val="-3"/>
          <w:sz w:val="20"/>
        </w:rPr>
        <w:t> </w:t>
      </w:r>
      <w:r>
        <w:rPr>
          <w:b/>
          <w:spacing w:val="-2"/>
          <w:sz w:val="20"/>
        </w:rPr>
        <w:t>réalisés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spacing w:before="0"/>
        <w:ind w:left="112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Garantie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23"/>
        </w:rPr>
      </w:pPr>
    </w:p>
    <w:p>
      <w:pPr>
        <w:spacing w:before="1"/>
        <w:ind w:left="112" w:right="0" w:firstLine="0"/>
        <w:jc w:val="left"/>
        <w:rPr>
          <w:b/>
          <w:sz w:val="20"/>
        </w:rPr>
      </w:pPr>
      <w:r>
        <w:rPr>
          <w:b/>
          <w:sz w:val="20"/>
        </w:rPr>
        <w:t>Version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du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produit</w:t>
      </w:r>
    </w:p>
    <w:p>
      <w:pPr>
        <w:spacing w:line="249" w:lineRule="auto" w:before="107"/>
        <w:ind w:left="112" w:right="127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Ferrures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meuble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Résistance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solidité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portes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coulissantes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volets roulants selon EN 15706 / 2009</w:t>
      </w:r>
    </w:p>
    <w:p>
      <w:pPr>
        <w:pStyle w:val="BodyText"/>
        <w:spacing w:before="8"/>
        <w:rPr>
          <w:sz w:val="19"/>
        </w:rPr>
      </w:pPr>
    </w:p>
    <w:p>
      <w:pPr>
        <w:spacing w:line="249" w:lineRule="auto" w:before="0"/>
        <w:ind w:left="112" w:right="127" w:firstLine="0"/>
        <w:jc w:val="left"/>
        <w:rPr>
          <w:sz w:val="19"/>
        </w:rPr>
      </w:pPr>
      <w:r>
        <w:rPr>
          <w:w w:val="105"/>
          <w:sz w:val="19"/>
        </w:rPr>
        <w:t>Ferrures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meuble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Résistance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solidité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charnières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leurs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composants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- Charnières à axe de rotation vertical selon EN 15570 / 2008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44" w:lineRule="auto"/>
        <w:ind w:left="112" w:right="127"/>
      </w:pPr>
      <w:r>
        <w:rPr/>
        <w:t>Hawa</w:t>
      </w:r>
      <w:r>
        <w:rPr>
          <w:spacing w:val="-5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5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5"/>
        </w:rPr>
        <w:t> </w:t>
      </w:r>
      <w:r>
        <w:rPr/>
        <w:t>produits</w:t>
      </w:r>
      <w:r>
        <w:rPr>
          <w:spacing w:val="-5"/>
        </w:rPr>
        <w:t> </w:t>
      </w:r>
      <w:r>
        <w:rPr/>
        <w:t>livrés</w:t>
      </w:r>
      <w:r>
        <w:rPr>
          <w:spacing w:val="-5"/>
        </w:rPr>
        <w:t> </w:t>
      </w:r>
      <w:r>
        <w:rPr/>
        <w:t>par</w:t>
      </w:r>
      <w:r>
        <w:rPr>
          <w:spacing w:val="-5"/>
        </w:rPr>
        <w:t> </w:t>
      </w:r>
      <w:r>
        <w:rPr/>
        <w:t>ses</w:t>
      </w:r>
      <w:r>
        <w:rPr>
          <w:spacing w:val="-5"/>
        </w:rPr>
        <w:t> </w:t>
      </w:r>
      <w:r>
        <w:rPr/>
        <w:t>soins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durabilité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tous les composants, à l’exception des pièces d’usure, pour une période de 2 ans à compter du transfert du risque.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</w:pPr>
    </w:p>
    <w:p>
      <w:pPr>
        <w:pStyle w:val="BodyText"/>
        <w:ind w:left="112"/>
      </w:pPr>
      <w:r>
        <w:rPr/>
        <w:t>Hawa Concepta 30 composé de profilés de guidage (aluminium), compas (acier galvanisé), galets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guidage</w:t>
      </w:r>
      <w:r>
        <w:rPr>
          <w:spacing w:val="-6"/>
        </w:rPr>
        <w:t> </w:t>
      </w:r>
      <w:r>
        <w:rPr/>
        <w:t>inclus,</w:t>
      </w:r>
      <w:r>
        <w:rPr>
          <w:spacing w:val="-6"/>
        </w:rPr>
        <w:t> </w:t>
      </w:r>
      <w:r>
        <w:rPr/>
        <w:t>fermeture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porte,</w:t>
      </w:r>
      <w:r>
        <w:rPr>
          <w:spacing w:val="-6"/>
        </w:rPr>
        <w:t> </w:t>
      </w:r>
      <w:r>
        <w:rPr/>
        <w:t>profilé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montant</w:t>
      </w:r>
      <w:r>
        <w:rPr>
          <w:spacing w:val="-6"/>
        </w:rPr>
        <w:t> </w:t>
      </w:r>
      <w:r>
        <w:rPr/>
        <w:t>horizontal,</w:t>
      </w:r>
      <w:r>
        <w:rPr>
          <w:spacing w:val="-6"/>
        </w:rPr>
        <w:t> </w:t>
      </w:r>
      <w:r>
        <w:rPr/>
        <w:t>charnières</w:t>
      </w:r>
      <w:r>
        <w:rPr>
          <w:spacing w:val="-6"/>
        </w:rPr>
        <w:t> </w:t>
      </w:r>
      <w:r>
        <w:rPr/>
        <w:t>à</w:t>
      </w:r>
      <w:r>
        <w:rPr>
          <w:spacing w:val="-6"/>
        </w:rPr>
        <w:t> </w:t>
      </w:r>
      <w:r>
        <w:rPr/>
        <w:t>boîtier avec amortisseur.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2" w:lineRule="exact"/>
        <w:ind w:left="112"/>
      </w:pPr>
      <w:r>
        <w:rPr>
          <w:spacing w:val="-2"/>
        </w:rPr>
        <w:t>En</w:t>
      </w:r>
      <w:r>
        <w:rPr>
          <w:spacing w:val="-10"/>
        </w:rPr>
        <w:t> </w:t>
      </w:r>
      <w:r>
        <w:rPr>
          <w:spacing w:val="-2"/>
        </w:rPr>
        <w:t>option</w:t>
      </w:r>
      <w:r>
        <w:rPr>
          <w:spacing w:val="-15"/>
        </w:rPr>
        <w:t> </w:t>
      </w:r>
      <w:r>
        <w:rPr>
          <w:spacing w:val="-10"/>
        </w:rPr>
        <w:t>:</w:t>
      </w:r>
    </w:p>
    <w:p>
      <w:pPr>
        <w:pStyle w:val="BodyText"/>
        <w:tabs>
          <w:tab w:pos="383" w:val="left" w:leader="dot"/>
        </w:tabs>
        <w:spacing w:line="232" w:lineRule="exact"/>
        <w:ind w:left="112"/>
      </w:pPr>
      <w:r>
        <w:rPr>
          <w:spacing w:val="-10"/>
        </w:rPr>
        <w:t>(</w:t>
      </w:r>
      <w:r>
        <w:rPr/>
        <w:tab/>
        <w:t>)</w:t>
      </w:r>
      <w:r>
        <w:rPr>
          <w:spacing w:val="-10"/>
        </w:rPr>
        <w:t> </w:t>
      </w:r>
      <w:r>
        <w:rPr/>
        <w:t>Profilés</w:t>
      </w:r>
      <w:r>
        <w:rPr>
          <w:spacing w:val="-6"/>
        </w:rPr>
        <w:t> </w:t>
      </w:r>
      <w:r>
        <w:rPr/>
        <w:t>d'assemblage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caisson</w:t>
      </w:r>
      <w:r>
        <w:rPr>
          <w:spacing w:val="-6"/>
        </w:rPr>
        <w:t> </w:t>
      </w:r>
      <w:r>
        <w:rPr/>
        <w:t>(Connector</w:t>
      </w:r>
      <w:r>
        <w:rPr>
          <w:spacing w:val="-6"/>
        </w:rPr>
        <w:t> </w:t>
      </w:r>
      <w:r>
        <w:rPr/>
        <w:t>55</w:t>
      </w:r>
      <w:r>
        <w:rPr>
          <w:spacing w:val="-7"/>
        </w:rPr>
        <w:t> </w:t>
      </w:r>
      <w:r>
        <w:rPr/>
        <w:t>et</w:t>
      </w:r>
      <w:r>
        <w:rPr>
          <w:spacing w:val="-7"/>
        </w:rPr>
        <w:t> </w:t>
      </w:r>
      <w:r>
        <w:rPr/>
        <w:t>110</w:t>
      </w:r>
      <w:r>
        <w:rPr>
          <w:spacing w:val="-6"/>
        </w:rPr>
        <w:t> </w:t>
      </w:r>
      <w:r>
        <w:rPr>
          <w:spacing w:val="-5"/>
        </w:rPr>
        <w:t>mm)</w:t>
      </w:r>
    </w:p>
    <w:p>
      <w:pPr>
        <w:pStyle w:val="BodyText"/>
        <w:tabs>
          <w:tab w:pos="383" w:val="left" w:leader="dot"/>
        </w:tabs>
        <w:spacing w:line="232" w:lineRule="exact"/>
        <w:ind w:left="112"/>
      </w:pPr>
      <w:r>
        <w:rPr>
          <w:spacing w:val="-10"/>
        </w:rPr>
        <w:t>(</w:t>
      </w:r>
      <w:r>
        <w:rPr/>
        <w:tab/>
        <w:t>)</w:t>
      </w:r>
      <w:r>
        <w:rPr>
          <w:spacing w:val="-8"/>
        </w:rPr>
        <w:t> </w:t>
      </w:r>
      <w:r>
        <w:rPr/>
        <w:t>Coulisse</w:t>
      </w:r>
      <w:r>
        <w:rPr>
          <w:spacing w:val="-6"/>
        </w:rPr>
        <w:t> </w:t>
      </w:r>
      <w:r>
        <w:rPr/>
        <w:t>pour</w:t>
      </w:r>
      <w:r>
        <w:rPr>
          <w:spacing w:val="-6"/>
        </w:rPr>
        <w:t> </w:t>
      </w:r>
      <w:r>
        <w:rPr/>
        <w:t>deux</w:t>
      </w:r>
      <w:r>
        <w:rPr>
          <w:spacing w:val="-7"/>
        </w:rPr>
        <w:t> </w:t>
      </w:r>
      <w:r>
        <w:rPr/>
        <w:t>portes</w:t>
      </w:r>
      <w:r>
        <w:rPr>
          <w:spacing w:val="-6"/>
        </w:rPr>
        <w:t> </w:t>
      </w:r>
      <w:r>
        <w:rPr>
          <w:spacing w:val="-2"/>
        </w:rPr>
        <w:t>rentrantes</w:t>
      </w:r>
    </w:p>
    <w:p>
      <w:pPr>
        <w:pStyle w:val="BodyText"/>
        <w:tabs>
          <w:tab w:pos="383" w:val="left" w:leader="dot"/>
        </w:tabs>
        <w:spacing w:line="232" w:lineRule="exact"/>
        <w:ind w:left="112"/>
      </w:pPr>
      <w:r>
        <w:rPr>
          <w:spacing w:val="-10"/>
        </w:rPr>
        <w:t>(</w:t>
      </w:r>
      <w:r>
        <w:rPr/>
        <w:tab/>
        <w:t>)</w:t>
      </w:r>
      <w:r>
        <w:rPr>
          <w:spacing w:val="-7"/>
        </w:rPr>
        <w:t> </w:t>
      </w:r>
      <w:r>
        <w:rPr/>
        <w:t>Poignées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2"/>
        </w:rPr>
        <w:t>porte</w:t>
      </w:r>
    </w:p>
    <w:p>
      <w:pPr>
        <w:pStyle w:val="BodyText"/>
        <w:tabs>
          <w:tab w:pos="383" w:val="left" w:leader="dot"/>
        </w:tabs>
        <w:spacing w:line="233" w:lineRule="exact"/>
        <w:ind w:left="112"/>
      </w:pPr>
      <w:r>
        <w:rPr>
          <w:spacing w:val="-10"/>
        </w:rPr>
        <w:t>(</w:t>
      </w:r>
      <w:r>
        <w:rPr/>
        <w:tab/>
        <w:t>)</w:t>
      </w:r>
      <w:r>
        <w:rPr>
          <w:spacing w:val="-6"/>
        </w:rPr>
        <w:t> </w:t>
      </w:r>
      <w:r>
        <w:rPr/>
        <w:t>Ferrure</w:t>
      </w:r>
      <w:r>
        <w:rPr>
          <w:spacing w:val="-3"/>
        </w:rPr>
        <w:t> </w:t>
      </w:r>
      <w:r>
        <w:rPr>
          <w:spacing w:val="-2"/>
        </w:rPr>
        <w:t>d'alignement</w:t>
      </w:r>
    </w:p>
    <w:p>
      <w:pPr>
        <w:spacing w:after="0" w:line="233" w:lineRule="exact"/>
        <w:sectPr>
          <w:type w:val="continuous"/>
          <w:pgSz w:w="11910" w:h="16840"/>
          <w:pgMar w:header="401" w:footer="1105" w:top="1960" w:bottom="1300" w:left="460" w:right="480"/>
          <w:cols w:num="2" w:equalWidth="0">
            <w:col w:w="1901" w:space="447"/>
            <w:col w:w="8622"/>
          </w:cols>
        </w:sectPr>
      </w:pPr>
    </w:p>
    <w:p>
      <w:pPr>
        <w:tabs>
          <w:tab w:pos="2461" w:val="left" w:leader="none"/>
        </w:tabs>
        <w:spacing w:line="248" w:lineRule="exact" w:before="182"/>
        <w:ind w:left="112" w:right="0" w:firstLine="0"/>
        <w:jc w:val="left"/>
        <w:rPr>
          <w:b/>
          <w:sz w:val="20"/>
        </w:rPr>
      </w:pPr>
      <w:r>
        <w:rPr>
          <w:b/>
          <w:spacing w:val="-2"/>
          <w:position w:val="1"/>
          <w:sz w:val="20"/>
        </w:rPr>
        <w:t>Interfaces</w:t>
      </w:r>
      <w:r>
        <w:rPr>
          <w:b/>
          <w:position w:val="1"/>
          <w:sz w:val="20"/>
        </w:rPr>
        <w:tab/>
      </w:r>
      <w:r>
        <w:rPr>
          <w:b/>
          <w:sz w:val="20"/>
        </w:rPr>
        <w:t>Panneau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porte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Perçages</w:t>
      </w:r>
      <w:r>
        <w:rPr>
          <w:spacing w:val="-5"/>
          <w:sz w:val="20"/>
        </w:rPr>
        <w:t> </w:t>
      </w:r>
      <w:r>
        <w:rPr>
          <w:sz w:val="20"/>
        </w:rPr>
        <w:t>35</w:t>
      </w:r>
      <w:r>
        <w:rPr>
          <w:spacing w:val="-6"/>
          <w:sz w:val="20"/>
        </w:rPr>
        <w:t> </w:t>
      </w:r>
      <w:r>
        <w:rPr>
          <w:sz w:val="20"/>
        </w:rPr>
        <w:t>mm</w:t>
      </w:r>
      <w:r>
        <w:rPr>
          <w:spacing w:val="-4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z w:val="20"/>
        </w:rPr>
        <w:t>charnières</w:t>
      </w:r>
      <w:r>
        <w:rPr>
          <w:spacing w:val="-4"/>
          <w:sz w:val="20"/>
        </w:rPr>
        <w:t> </w:t>
      </w:r>
      <w:r>
        <w:rPr>
          <w:sz w:val="20"/>
        </w:rPr>
        <w:t>à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boîtier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Perçages</w:t>
      </w:r>
      <w:r>
        <w:rPr>
          <w:spacing w:val="-6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ferrures</w:t>
      </w:r>
    </w:p>
    <w:p>
      <w:pPr>
        <w:pStyle w:val="BodyText"/>
      </w:pPr>
    </w:p>
    <w:p>
      <w:pPr>
        <w:spacing w:line="238" w:lineRule="exact" w:before="0"/>
        <w:ind w:left="2461" w:right="0" w:firstLine="0"/>
        <w:jc w:val="left"/>
        <w:rPr>
          <w:b/>
          <w:sz w:val="20"/>
        </w:rPr>
      </w:pPr>
      <w:r>
        <w:rPr>
          <w:b/>
          <w:sz w:val="20"/>
        </w:rPr>
        <w:t>Côté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caisson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et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côté</w:t>
      </w:r>
      <w:r>
        <w:rPr>
          <w:b/>
          <w:spacing w:val="-4"/>
          <w:sz w:val="20"/>
        </w:rPr>
        <w:t> </w:t>
      </w:r>
      <w:r>
        <w:rPr>
          <w:b/>
          <w:spacing w:val="-2"/>
          <w:sz w:val="20"/>
        </w:rPr>
        <w:t>extérieur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Perçages</w:t>
      </w:r>
      <w:r>
        <w:rPr>
          <w:spacing w:val="-5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z w:val="20"/>
        </w:rPr>
        <w:t>pièces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ferrure</w:t>
      </w:r>
    </w:p>
    <w:p>
      <w:pPr>
        <w:pStyle w:val="BodyText"/>
        <w:spacing w:before="1"/>
      </w:pPr>
    </w:p>
    <w:p>
      <w:pPr>
        <w:spacing w:line="238" w:lineRule="exact" w:before="0"/>
        <w:ind w:left="2461" w:right="0" w:firstLine="0"/>
        <w:jc w:val="left"/>
        <w:rPr>
          <w:b/>
          <w:sz w:val="20"/>
        </w:rPr>
      </w:pPr>
      <w:r>
        <w:rPr>
          <w:b/>
          <w:sz w:val="20"/>
        </w:rPr>
        <w:t>Constructions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corps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7"/>
          <w:sz w:val="20"/>
        </w:rPr>
        <w:t> </w:t>
      </w:r>
      <w:r>
        <w:rPr>
          <w:b/>
          <w:spacing w:val="-2"/>
          <w:sz w:val="20"/>
        </w:rPr>
        <w:t>meuble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Porte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encastrée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Porte</w:t>
      </w:r>
      <w:r>
        <w:rPr>
          <w:spacing w:val="-5"/>
          <w:sz w:val="20"/>
        </w:rPr>
        <w:t> </w:t>
      </w:r>
      <w:r>
        <w:rPr>
          <w:sz w:val="20"/>
        </w:rPr>
        <w:t>s'ouvrant</w:t>
      </w:r>
      <w:r>
        <w:rPr>
          <w:spacing w:val="-5"/>
          <w:sz w:val="20"/>
        </w:rPr>
        <w:t> </w:t>
      </w:r>
      <w:r>
        <w:rPr>
          <w:sz w:val="20"/>
        </w:rPr>
        <w:t>sur</w:t>
      </w:r>
      <w:r>
        <w:rPr>
          <w:spacing w:val="-4"/>
          <w:sz w:val="20"/>
        </w:rPr>
        <w:t> </w:t>
      </w:r>
      <w:r>
        <w:rPr>
          <w:sz w:val="20"/>
        </w:rPr>
        <w:t>le</w:t>
      </w:r>
      <w:r>
        <w:rPr>
          <w:spacing w:val="-5"/>
          <w:sz w:val="20"/>
        </w:rPr>
        <w:t> </w:t>
      </w:r>
      <w:r>
        <w:rPr>
          <w:sz w:val="20"/>
        </w:rPr>
        <w:t>sol</w:t>
      </w:r>
      <w:r>
        <w:rPr>
          <w:spacing w:val="-6"/>
          <w:sz w:val="20"/>
        </w:rPr>
        <w:t> </w:t>
      </w:r>
      <w:r>
        <w:rPr>
          <w:sz w:val="20"/>
        </w:rPr>
        <w:t>et</w:t>
      </w:r>
      <w:r>
        <w:rPr>
          <w:spacing w:val="-5"/>
          <w:sz w:val="20"/>
        </w:rPr>
        <w:t> </w:t>
      </w:r>
      <w:r>
        <w:rPr>
          <w:sz w:val="20"/>
        </w:rPr>
        <w:t>le</w:t>
      </w:r>
      <w:r>
        <w:rPr>
          <w:spacing w:val="-4"/>
          <w:sz w:val="20"/>
        </w:rPr>
        <w:t> </w:t>
      </w:r>
      <w:r>
        <w:rPr>
          <w:sz w:val="20"/>
        </w:rPr>
        <w:t>panneau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supérieur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Porte</w:t>
      </w:r>
      <w:r>
        <w:rPr>
          <w:spacing w:val="-6"/>
          <w:sz w:val="20"/>
        </w:rPr>
        <w:t> </w:t>
      </w:r>
      <w:r>
        <w:rPr>
          <w:sz w:val="20"/>
        </w:rPr>
        <w:t>dans</w:t>
      </w:r>
      <w:r>
        <w:rPr>
          <w:spacing w:val="-6"/>
          <w:sz w:val="20"/>
        </w:rPr>
        <w:t> </w:t>
      </w:r>
      <w:r>
        <w:rPr>
          <w:sz w:val="20"/>
        </w:rPr>
        <w:t>une</w:t>
      </w:r>
      <w:r>
        <w:rPr>
          <w:spacing w:val="-5"/>
          <w:sz w:val="20"/>
        </w:rPr>
        <w:t> </w:t>
      </w:r>
      <w:r>
        <w:rPr>
          <w:sz w:val="20"/>
        </w:rPr>
        <w:t>niche</w:t>
      </w:r>
      <w:r>
        <w:rPr>
          <w:spacing w:val="-6"/>
          <w:sz w:val="20"/>
        </w:rPr>
        <w:t> </w:t>
      </w:r>
      <w:r>
        <w:rPr>
          <w:sz w:val="20"/>
        </w:rPr>
        <w:t>du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mur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7"/>
        <w:jc w:val="left"/>
        <w:rPr>
          <w:sz w:val="20"/>
        </w:rPr>
      </w:pPr>
      <w:r>
        <w:rPr>
          <w:sz w:val="20"/>
        </w:rPr>
        <w:t>Porte</w:t>
      </w:r>
      <w:r>
        <w:rPr>
          <w:spacing w:val="-4"/>
          <w:sz w:val="20"/>
        </w:rPr>
        <w:t> </w:t>
      </w:r>
      <w:r>
        <w:rPr>
          <w:sz w:val="20"/>
        </w:rPr>
        <w:t>avec</w:t>
      </w:r>
      <w:r>
        <w:rPr>
          <w:spacing w:val="-4"/>
          <w:sz w:val="20"/>
        </w:rPr>
        <w:t> </w:t>
      </w:r>
      <w:r>
        <w:rPr>
          <w:sz w:val="20"/>
        </w:rPr>
        <w:t>socle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meuble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Porte</w:t>
      </w:r>
      <w:r>
        <w:rPr>
          <w:spacing w:val="-5"/>
          <w:sz w:val="20"/>
        </w:rPr>
        <w:t> </w:t>
      </w:r>
      <w:r>
        <w:rPr>
          <w:sz w:val="20"/>
        </w:rPr>
        <w:t>sans</w:t>
      </w:r>
      <w:r>
        <w:rPr>
          <w:spacing w:val="-4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meuble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Porte</w:t>
      </w:r>
      <w:r>
        <w:rPr>
          <w:spacing w:val="-5"/>
          <w:sz w:val="20"/>
        </w:rPr>
        <w:t> </w:t>
      </w:r>
      <w:r>
        <w:rPr>
          <w:sz w:val="20"/>
        </w:rPr>
        <w:t>du</w:t>
      </w:r>
      <w:r>
        <w:rPr>
          <w:spacing w:val="-5"/>
          <w:sz w:val="20"/>
        </w:rPr>
        <w:t> </w:t>
      </w:r>
      <w:r>
        <w:rPr>
          <w:sz w:val="20"/>
        </w:rPr>
        <w:t>plan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travail</w:t>
      </w:r>
      <w:r>
        <w:rPr>
          <w:spacing w:val="-7"/>
          <w:sz w:val="20"/>
        </w:rPr>
        <w:t> </w:t>
      </w:r>
      <w:r>
        <w:rPr>
          <w:sz w:val="20"/>
        </w:rPr>
        <w:t>s'ouvrant</w:t>
      </w:r>
      <w:r>
        <w:rPr>
          <w:spacing w:val="-5"/>
          <w:sz w:val="20"/>
        </w:rPr>
        <w:t> </w:t>
      </w:r>
      <w:r>
        <w:rPr>
          <w:sz w:val="20"/>
        </w:rPr>
        <w:t>sur</w:t>
      </w:r>
      <w:r>
        <w:rPr>
          <w:spacing w:val="-4"/>
          <w:sz w:val="20"/>
        </w:rPr>
        <w:t> </w:t>
      </w:r>
      <w:r>
        <w:rPr>
          <w:sz w:val="20"/>
        </w:rPr>
        <w:t>le</w:t>
      </w:r>
      <w:r>
        <w:rPr>
          <w:spacing w:val="-5"/>
          <w:sz w:val="20"/>
        </w:rPr>
        <w:t> </w:t>
      </w:r>
      <w:r>
        <w:rPr>
          <w:sz w:val="20"/>
        </w:rPr>
        <w:t>sol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supérieur</w:t>
      </w:r>
    </w:p>
    <w:sectPr>
      <w:pgSz w:w="11910" w:h="16840"/>
      <w:pgMar w:header="401" w:footer="1105" w:top="1960" w:bottom="130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57.4pt;height:35.25pt;mso-position-horizontal-relative:page;mso-position-vertical-relative:page;z-index:-15848448" type="#_x0000_t202" id="docshape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Sliding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Solutions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</w:t>
                </w:r>
                <w:r>
                  <w:rPr>
                    <w:spacing w:val="-7"/>
                  </w:rPr>
                  <w:t> </w:t>
                </w:r>
                <w:r>
                  <w:rPr/>
                  <w:t>Fischbachstrasse</w:t>
                </w:r>
                <w:r>
                  <w:rPr>
                    <w:spacing w:val="-6"/>
                  </w:rPr>
                  <w:t> </w:t>
                </w:r>
                <w:r>
                  <w:rPr/>
                  <w:t>4,</w:t>
                </w:r>
                <w:r>
                  <w:rPr>
                    <w:spacing w:val="-11"/>
                  </w:rPr>
                  <w:t> </w:t>
                </w:r>
                <w:r>
                  <w:rPr/>
                  <w:t>8932</w:t>
                </w:r>
                <w:r>
                  <w:rPr>
                    <w:spacing w:val="-5"/>
                  </w:rPr>
                  <w:t> </w:t>
                </w:r>
                <w:r>
                  <w:rPr/>
                  <w:t>Mettmenstetten,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2"/>
                  </w:rPr>
                  <w:t>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</w:t>
                </w:r>
                <w:r>
                  <w:rPr>
                    <w:spacing w:val="-6"/>
                  </w:rPr>
                  <w:t> </w:t>
                </w:r>
                <w:r>
                  <w:rPr/>
                  <w:t>+41</w:t>
                </w:r>
                <w:r>
                  <w:rPr>
                    <w:spacing w:val="-4"/>
                  </w:rPr>
                  <w:t> </w:t>
                </w:r>
                <w:r>
                  <w:rPr/>
                  <w:t>44</w:t>
                </w:r>
                <w:r>
                  <w:rPr>
                    <w:spacing w:val="-4"/>
                  </w:rPr>
                  <w:t> </w:t>
                </w:r>
                <w:r>
                  <w:rPr/>
                  <w:t>787</w:t>
                </w:r>
                <w:r>
                  <w:rPr>
                    <w:spacing w:val="-4"/>
                  </w:rPr>
                  <w:t> </w:t>
                </w:r>
                <w:r>
                  <w:rPr/>
                  <w:t>17</w:t>
                </w:r>
                <w:r>
                  <w:rPr>
                    <w:spacing w:val="-5"/>
                  </w:rPr>
                  <w:t> </w:t>
                </w:r>
                <w:r>
                  <w:rPr/>
                  <w:t>17,</w:t>
                </w:r>
                <w:r>
                  <w:rPr>
                    <w:spacing w:val="-5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6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87pt;margin-top:797.215942pt;width:12.55pt;height:11.95pt;mso-position-horizontal-relative:page;mso-position-vertical-relative:page;z-index:-15847936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66496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67008">
          <wp:simplePos x="0" y="0"/>
          <wp:positionH relativeFrom="page">
            <wp:posOffset>5717651</wp:posOffset>
          </wp:positionH>
          <wp:positionV relativeFrom="page">
            <wp:posOffset>827043</wp:posOffset>
          </wp:positionV>
          <wp:extent cx="1234983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498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9.853699pt;margin-top:68.660194pt;width:15.15pt;height:13.95pt;mso-position-horizontal-relative:page;mso-position-vertical-relative:page;z-index:-15848960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pacing w:val="-5"/>
                    <w:sz w:val="24"/>
                  </w:rPr>
                  <w:t>30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454" w:hanging="15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289" w:hanging="15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124" w:hanging="15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959" w:hanging="15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794" w:hanging="15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629" w:hanging="15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464" w:hanging="15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299" w:hanging="156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2617" w:hanging="157"/>
    </w:pPr>
    <w:rPr>
      <w:rFonts w:ascii="HelveticaNeueLT Std" w:hAnsi="HelveticaNeueLT Std" w:eastAsia="HelveticaNeueLT Std" w:cs="HelveticaNeueLT St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2023-03-07T07:08:04Z</dcterms:created>
  <dcterms:modified xsi:type="dcterms:W3CDTF">2023-03-07T07:08:04Z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2023-01-05T00:00:00Z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2023-03-07T00:00:00Z</vt:filetime>
  </property>
  <property fmtid="{D5CDD505-2E9C-101B-9397-08002B2CF9AE}" pid="5" name="Producer">
    <vt:lpwstr>wPDF4 x64 by WPCubed GmbH</vt:lpwstr>
  </property>
</Properties>
</file>