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-7048" coordorigin="62,1983" coordsize="11783,764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coordorigin="62,8185" coordsize="11783,539" path="m11845,8185l11289,8185,7615,8185,2897,8185,62,8185,62,8724,2897,8724,7615,8724,11289,8724,11845,8724,11845,8185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coordorigin="62,8979" coordsize="11783,256" path="m11845,8979l11289,8979,7615,8979,2897,8979,62,8979,62,9234,2897,9234,7615,9234,11289,9234,11845,9234,11845,8979e" filled="true" fillcolor="#f4f4f4" stroked="false">
              <v:path arrowok="t"/>
              <v:fill type="solid"/>
            </v:shape>
            <v:rect style="position:absolute;left:2897;top:9211;width:4718;height:23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filled="true" fillcolor="#f4f4f4" stroked="false">
              <v:fill type="solid"/>
            </v:rect>
            <v:shape style="position:absolute;left:572;top:2243;width:1070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2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 Montage mural.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355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 applications standard peuvent être équipées avec l’option Synchro</w:t>
                    </w:r>
                  </w:p>
                </w:txbxContent>
              </v:textbox>
              <w10:wrap type="none"/>
            </v:shape>
            <v:shape style="position:absolute;left:3464;top:4029;width:7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023;width:5523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Deux portes coulissant simultanément permettent de grandes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ouvertures sans obstacle</w:t>
                    </w:r>
                  </w:p>
                </w:txbxContent>
              </v:textbox>
              <w10:wrap type="none"/>
            </v:shape>
            <v:shape style="position:absolute;left:572;top:4885;width:5773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9"/>
                      <w:ind w:left="2324" w:right="11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de </w:t>
                    </w:r>
                    <w:r>
                      <w:rPr>
                        <w:sz w:val="20"/>
                      </w:rPr>
                      <w:t>la porte Max. Hauteur de </w:t>
                    </w:r>
                    <w:r>
                      <w:rPr>
                        <w:spacing w:val="-3"/>
                        <w:sz w:val="20"/>
                      </w:rPr>
                      <w:t>la </w:t>
                    </w:r>
                    <w:r>
                      <w:rPr>
                        <w:sz w:val="20"/>
                      </w:rPr>
                      <w:t>porte Max. Largeur de porte Hauteur max.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Amortissement  Matérielle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5;top:4885;width:1709;height:2240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 (5.9–10)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3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 / -3 mm Non</w:t>
                    </w:r>
                  </w:p>
                  <w:p>
                    <w:pPr>
                      <w:spacing w:line="261" w:lineRule="auto" w:before="2"/>
                      <w:ind w:left="0" w:right="-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Verre Bois Mix Aluminium anodisé</w:t>
                    </w:r>
                  </w:p>
                </w:txbxContent>
              </v:textbox>
              <w10:wrap type="none"/>
            </v:shape>
            <v:shape style="position:absolute;left:572;top:7476;width:188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465;width:1818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mural</w:t>
                    </w:r>
                  </w:p>
                  <w:p>
                    <w:pPr>
                      <w:spacing w:line="261" w:lineRule="auto" w:before="22"/>
                      <w:ind w:left="0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 À roulement en haut</w:t>
                    </w:r>
                  </w:p>
                </w:txbxContent>
              </v:textbox>
              <w10:wrap type="none"/>
            </v:shape>
            <v:shape style="position:absolute;left:7615;top:7465;width:325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v:shape style="position:absolute;left:572;top:8514;width:5928;height:709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9"/>
                      <w:ind w:left="2324" w:right="-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514;width:325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tabs>
          <w:tab w:pos="2461" w:val="left" w:leader="none"/>
        </w:tabs>
        <w:spacing w:before="48"/>
        <w:ind w:left="2461" w:right="895" w:hanging="2349"/>
      </w:pPr>
      <w:r>
        <w:rPr>
          <w:b/>
          <w:position w:val="1"/>
        </w:rPr>
        <w:t>Tests</w:t>
      </w:r>
      <w:r>
        <w:rPr>
          <w:b/>
          <w:spacing w:val="-2"/>
          <w:position w:val="1"/>
        </w:rPr>
        <w:t> </w:t>
      </w:r>
      <w:r>
        <w:rPr>
          <w:b/>
          <w:position w:val="1"/>
        </w:rPr>
        <w:t>réalisés</w:t>
        <w:tab/>
      </w:r>
      <w:r>
        <w:rPr/>
        <w:t>Serrures et ferrures de bâtiment – Ferrures pour portes coulissantes et pliantes selon EN 1527 /</w:t>
      </w:r>
      <w:r>
        <w:rPr>
          <w:spacing w:val="-3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6"/>
        <w:jc w:val="left"/>
        <w:rPr>
          <w:sz w:val="20"/>
        </w:rPr>
      </w:pPr>
      <w:r>
        <w:rPr>
          <w:sz w:val="20"/>
        </w:rPr>
        <w:t>Durée de la fonctionnalité : catégorie 6 (catégorie la plus élevée = 100’000</w:t>
      </w:r>
      <w:r>
        <w:rPr>
          <w:spacing w:val="-2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Serrures et ferrures de meuble – Ferrures à galets pour portes coulissantes selon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Essai de</w:t>
      </w:r>
      <w:r>
        <w:rPr>
          <w:spacing w:val="-3"/>
          <w:sz w:val="20"/>
        </w:rPr>
        <w:t> </w:t>
      </w:r>
      <w:r>
        <w:rPr>
          <w:sz w:val="20"/>
        </w:rPr>
        <w:t>surcharge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Essai de</w:t>
      </w:r>
      <w:r>
        <w:rPr>
          <w:spacing w:val="-3"/>
          <w:sz w:val="20"/>
        </w:rPr>
        <w:t> </w:t>
      </w:r>
      <w:r>
        <w:rPr>
          <w:sz w:val="20"/>
        </w:rPr>
        <w:t>fonctionnement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5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2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03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Divido 100 GR Synchro composée de rail de roulement (aluminium), cache à clipser, chariot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galets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mécanisme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roulement.</w:t>
      </w:r>
      <w:r>
        <w:rPr>
          <w:spacing w:val="-4"/>
        </w:rPr>
        <w:t> </w:t>
      </w:r>
      <w:r>
        <w:rPr/>
        <w:t>Câble</w:t>
      </w:r>
      <w:r>
        <w:rPr>
          <w:spacing w:val="-3"/>
        </w:rPr>
        <w:t> </w:t>
      </w:r>
      <w:r>
        <w:rPr/>
        <w:t>kevlar avec galets de déviation, profil de cadre en verre en aluminium, butée avec ressort de blocage, guidage au</w:t>
      </w:r>
      <w:r>
        <w:rPr>
          <w:spacing w:val="-3"/>
        </w:rPr>
        <w:t> </w:t>
      </w:r>
      <w:r>
        <w:rPr/>
        <w:t>sol.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En option :</w:t>
      </w:r>
    </w:p>
    <w:p>
      <w:pPr>
        <w:pStyle w:val="BodyText"/>
        <w:ind w:left="2461" w:right="3443"/>
      </w:pPr>
      <w:r>
        <w:rPr/>
        <w:t>(….) Pièce à clipser pour cache en bois et aluminium (….) Meneaux de cadre</w:t>
      </w:r>
    </w:p>
    <w:p>
      <w:pPr>
        <w:pStyle w:val="BodyText"/>
        <w:ind w:left="2461" w:right="4750"/>
      </w:pPr>
      <w:r>
        <w:rPr/>
        <w:t>(….) Profil de cadre avec poignée verticale (….) Profil de compensation murale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Panneau de</w:t>
      </w:r>
      <w:r>
        <w:rPr>
          <w:spacing w:val="-2"/>
        </w:rPr>
        <w:t> </w:t>
      </w:r>
      <w:r>
        <w:rPr/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Fixation vissée du support du mécanisme de</w:t>
      </w:r>
      <w:r>
        <w:rPr>
          <w:spacing w:val="-7"/>
          <w:sz w:val="20"/>
        </w:rPr>
        <w:t> </w:t>
      </w:r>
      <w:r>
        <w:rPr>
          <w:sz w:val="20"/>
        </w:rPr>
        <w:t>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Profils coupés à angle droit et</w:t>
      </w:r>
      <w:r>
        <w:rPr>
          <w:spacing w:val="-4"/>
          <w:sz w:val="20"/>
        </w:rPr>
        <w:t> </w:t>
      </w:r>
      <w:r>
        <w:rPr>
          <w:sz w:val="20"/>
        </w:rPr>
        <w:t>vissés</w:t>
      </w:r>
    </w:p>
    <w:sectPr>
      <w:pgSz w:w="11910" w:h="16840"/>
      <w:pgMar w:header="401" w:footer="1105" w:top="170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26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19">
          <wp:simplePos x="0" y="0"/>
          <wp:positionH relativeFrom="page">
            <wp:posOffset>4914732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74921pt;margin-top:68.660667pt;width:89.65pt;height:13.9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GR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2023-02-22T15:22:53Z</dcterms:created>
  <dcterms:modified xsi:type="dcterms:W3CDTF">2023-02-22T15:22:53Z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