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-6904" coordorigin="62,1983" coordsize="11783,736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coordorigin="62,7902" coordsize="11783,539" path="m11845,7902l11289,7902,7615,7902,2897,7902,62,7902,62,8441,2897,8441,7615,8441,11289,8441,11845,8441,11845,7902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coordorigin="62,8441" coordsize="11783,256" path="m11845,8441l11289,8441,7615,8441,2897,8441,62,8441,62,8696,2897,8696,7615,8696,11289,8696,11845,8696,11845,8441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filled="true" fillcolor="#f4f4f4" stroked="false">
              <v:fill type="solid"/>
            </v:rect>
            <v:shape style="position:absolute;left:572;top:2243;width:1000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bas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 ou encastré. Avec amortisseur.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81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Systèmes à une, deux ou trois voies utilisables comme portes ou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séparations de pièce</w:t>
                    </w:r>
                  </w:p>
                </w:txbxContent>
              </v:textbox>
              <w10:wrap type="none"/>
            </v:shape>
            <v:shape style="position:absolute;left:3464;top:4256;width:748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250;width:6007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Coulissement, freinage et fermeture faciles et silencieux de la porte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 moyen d’un système d'amortissement</w:t>
                    </w:r>
                  </w:p>
                </w:txbxContent>
              </v:textbox>
              <w10:wrap type="none"/>
            </v:shape>
            <v:shape style="position:absolute;left:572;top:5112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de </w:t>
                    </w:r>
                    <w:r>
                      <w:rPr>
                        <w:sz w:val="20"/>
                      </w:rPr>
                      <w:t>la porte Max. Hauteur de </w:t>
                    </w:r>
                    <w:r>
                      <w:rPr>
                        <w:spacing w:val="-3"/>
                        <w:sz w:val="20"/>
                      </w:rPr>
                      <w:t>la </w:t>
                    </w:r>
                    <w:r>
                      <w:rPr>
                        <w:sz w:val="20"/>
                      </w:rPr>
                      <w:t>porte Max. Largeur de porte Hauteur max.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Amortissement  Matérielle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5112;width:170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(5.9–10)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8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Oui</w:t>
                    </w:r>
                  </w:p>
                  <w:p>
                    <w:pPr>
                      <w:spacing w:line="261" w:lineRule="auto" w:before="2"/>
                      <w:ind w:left="0" w:right="-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Verre Bois Mix Aluminium anodisé</w:t>
                    </w:r>
                  </w:p>
                </w:txbxContent>
              </v:textbox>
              <w10:wrap type="none"/>
            </v:shape>
            <v:shape style="position:absolute;left:572;top:7703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692;width:175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 roulement en bas</w:t>
                    </w:r>
                  </w:p>
                </w:txbxContent>
              </v:textbox>
              <w10:wrap type="none"/>
            </v:shape>
            <v:shape style="position:absolute;left:7615;top:7692;width:32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30;width:5927;height:710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230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2461" w:right="797" w:hanging="2349"/>
      </w:pPr>
      <w:r>
        <w:rPr>
          <w:b/>
          <w:position w:val="1"/>
        </w:rPr>
        <w:t>Tests</w:t>
      </w:r>
      <w:r>
        <w:rPr>
          <w:b/>
          <w:spacing w:val="-2"/>
          <w:position w:val="1"/>
        </w:rPr>
        <w:t> </w:t>
      </w:r>
      <w:r>
        <w:rPr>
          <w:b/>
          <w:position w:val="1"/>
        </w:rPr>
        <w:t>réalisés</w:t>
        <w:tab/>
      </w:r>
      <w:r>
        <w:rPr/>
        <w:t>Serrures et ferrures de bâtiment – Ferrures pour portes coulissantes et pliantes selon EN 1527 /</w:t>
      </w:r>
      <w:r>
        <w:rPr>
          <w:spacing w:val="-3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6"/>
        <w:jc w:val="left"/>
        <w:rPr>
          <w:sz w:val="20"/>
        </w:rPr>
      </w:pPr>
      <w:r>
        <w:rPr>
          <w:sz w:val="20"/>
        </w:rPr>
        <w:t>Durée de la fonctionnalité : catégorie 6 (catégorie la plus élevée = 100’000</w:t>
      </w:r>
      <w:r>
        <w:rPr>
          <w:spacing w:val="-24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 et ferrures de meuble – Ferrures à galets pour portes coulissantes selon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Essai de</w:t>
      </w:r>
      <w:r>
        <w:rPr>
          <w:spacing w:val="-3"/>
          <w:sz w:val="20"/>
        </w:rPr>
        <w:t> </w:t>
      </w:r>
      <w:r>
        <w:rPr>
          <w:sz w:val="20"/>
        </w:rPr>
        <w:t>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Essai de</w:t>
      </w:r>
      <w:r>
        <w:rPr>
          <w:spacing w:val="-3"/>
          <w:sz w:val="20"/>
        </w:rPr>
        <w:t> </w:t>
      </w:r>
      <w:r>
        <w:rPr>
          <w:sz w:val="20"/>
        </w:rPr>
        <w:t>fonctionnement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5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62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109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Divido 80 GR composée de rail de roulement en bas (aluminium), rail de guidage en haut,</w:t>
      </w:r>
      <w:r>
        <w:rPr>
          <w:spacing w:val="-4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galets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mécanisme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bas, garniture de guidage en haut, profil de cadre en verre en aluminium,</w:t>
      </w:r>
      <w:r>
        <w:rPr>
          <w:spacing w:val="-19"/>
        </w:rPr>
        <w:t> </w:t>
      </w:r>
      <w:r>
        <w:rPr/>
        <w:t>butée.</w:t>
      </w:r>
    </w:p>
    <w:p>
      <w:pPr>
        <w:pStyle w:val="BodyText"/>
      </w:pPr>
    </w:p>
    <w:p>
      <w:pPr>
        <w:pStyle w:val="BodyTex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Rail de roulement à plusieurs voies en</w:t>
      </w:r>
      <w:r>
        <w:rPr>
          <w:spacing w:val="-9"/>
        </w:rPr>
        <w:t> </w:t>
      </w:r>
      <w:r>
        <w:rPr/>
        <w:t>bas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Rail de guidage à plusieurs voies en</w:t>
      </w:r>
      <w:r>
        <w:rPr>
          <w:spacing w:val="-8"/>
        </w:rPr>
        <w:t> </w:t>
      </w:r>
      <w:r>
        <w:rPr/>
        <w:t>haut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Meneaux de</w:t>
      </w:r>
      <w:r>
        <w:rPr>
          <w:spacing w:val="-4"/>
        </w:rPr>
        <w:t> </w:t>
      </w:r>
      <w:r>
        <w:rPr/>
        <w:t>cadre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Profil de cadre avec poignée</w:t>
      </w:r>
      <w:r>
        <w:rPr>
          <w:spacing w:val="-5"/>
        </w:rPr>
        <w:t> </w:t>
      </w:r>
      <w:r>
        <w:rPr/>
        <w:t>verticale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Amortisseur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Porte avec inclinaison de toit, à guidage en haut</w:t>
      </w:r>
      <w:r>
        <w:rPr>
          <w:spacing w:val="-11"/>
        </w:rPr>
        <w:t> </w:t>
      </w:r>
      <w:r>
        <w:rPr/>
        <w:t>DS2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Porte avec inclinaison de toit, à guidage sur tablette</w:t>
      </w:r>
      <w:r>
        <w:rPr>
          <w:spacing w:val="-10"/>
        </w:rPr>
        <w:t> </w:t>
      </w:r>
      <w:r>
        <w:rPr/>
        <w:t>DS3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Porte avec inclinaison de toit, à guidage vers la pointe sur tablette</w:t>
      </w:r>
      <w:r>
        <w:rPr>
          <w:spacing w:val="-18"/>
        </w:rPr>
        <w:t> </w:t>
      </w:r>
      <w:r>
        <w:rPr/>
        <w:t>DS4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Profil de compensation</w:t>
      </w:r>
      <w:r>
        <w:rPr>
          <w:spacing w:val="-6"/>
        </w:rPr>
        <w:t> </w:t>
      </w:r>
      <w:r>
        <w:rPr/>
        <w:t>murale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Panneau de</w:t>
      </w:r>
      <w:r>
        <w:rPr>
          <w:spacing w:val="-2"/>
        </w:rPr>
        <w:t> </w:t>
      </w:r>
      <w:r>
        <w:rPr/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Profils coupés à angle droit et</w:t>
      </w:r>
      <w:r>
        <w:rPr>
          <w:spacing w:val="-3"/>
          <w:sz w:val="20"/>
        </w:rPr>
        <w:t> </w:t>
      </w:r>
      <w:r>
        <w:rPr>
          <w:sz w:val="20"/>
        </w:rPr>
        <w:t>vissés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Perçage pour boîtier fixation en</w:t>
      </w:r>
      <w:r>
        <w:rPr>
          <w:spacing w:val="-3"/>
          <w:sz w:val="20"/>
        </w:rPr>
        <w:t> </w:t>
      </w:r>
      <w:r>
        <w:rPr>
          <w:sz w:val="20"/>
        </w:rPr>
        <w:t>bas</w:t>
      </w:r>
    </w:p>
    <w:sectPr>
      <w:pgSz w:w="11910" w:h="16840"/>
      <w:pgMar w:header="401" w:footer="1105" w:top="170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12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3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63">
          <wp:simplePos x="0" y="0"/>
          <wp:positionH relativeFrom="page">
            <wp:posOffset>5645641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5.7pt;height:13.95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GR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2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2023-02-23T16:14:56Z</dcterms:created>
  <dcterms:modified xsi:type="dcterms:W3CDTF">2023-02-23T16:14:56Z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2023-02-23T00:00:00Z</vt:filetime>
  </property>
</Properties>
</file>