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Title"/>
        <w:spacing w:line="237" w:lineRule="auto"/>
      </w:pPr>
      <w:r>
        <w:rPr>
          <w:color w:val="003C78"/>
        </w:rPr>
        <w:t>Ferrure</w:t>
      </w:r>
      <w:r>
        <w:rPr>
          <w:color w:val="003C78"/>
          <w:spacing w:val="-9"/>
        </w:rPr>
        <w:t> </w:t>
      </w:r>
      <w:r>
        <w:rPr>
          <w:color w:val="003C78"/>
        </w:rPr>
        <w:t>pour</w:t>
      </w:r>
      <w:r>
        <w:rPr>
          <w:color w:val="003C78"/>
          <w:spacing w:val="-4"/>
        </w:rPr>
        <w:t> </w:t>
      </w:r>
      <w:r>
        <w:rPr>
          <w:color w:val="003C78"/>
        </w:rPr>
        <w:t>pivoter,</w:t>
      </w:r>
      <w:r>
        <w:rPr>
          <w:color w:val="003C78"/>
          <w:spacing w:val="-11"/>
        </w:rPr>
        <w:t> </w:t>
      </w:r>
      <w:r>
        <w:rPr>
          <w:color w:val="003C78"/>
        </w:rPr>
        <w:t>replier</w:t>
      </w:r>
      <w:r>
        <w:rPr>
          <w:color w:val="003C78"/>
          <w:spacing w:val="-4"/>
        </w:rPr>
        <w:t> </w:t>
      </w:r>
      <w:r>
        <w:rPr>
          <w:color w:val="003C78"/>
        </w:rPr>
        <w:t>et</w:t>
      </w:r>
      <w:r>
        <w:rPr>
          <w:color w:val="003C78"/>
          <w:spacing w:val="-7"/>
        </w:rPr>
        <w:t> </w:t>
      </w:r>
      <w:r>
        <w:rPr>
          <w:color w:val="003C78"/>
        </w:rPr>
        <w:t>escamoter</w:t>
      </w:r>
      <w:r>
        <w:rPr>
          <w:color w:val="003C78"/>
          <w:spacing w:val="-10"/>
        </w:rPr>
        <w:t> </w:t>
      </w:r>
      <w:r>
        <w:rPr>
          <w:color w:val="003C78"/>
        </w:rPr>
        <w:t>latéralement</w:t>
      </w:r>
      <w:r>
        <w:rPr>
          <w:color w:val="003C78"/>
          <w:spacing w:val="-7"/>
        </w:rPr>
        <w:t> </w:t>
      </w:r>
      <w:r>
        <w:rPr>
          <w:color w:val="003C78"/>
        </w:rPr>
        <w:t>des</w:t>
      </w:r>
      <w:r>
        <w:rPr>
          <w:color w:val="003C78"/>
          <w:spacing w:val="-6"/>
        </w:rPr>
        <w:t> </w:t>
      </w:r>
      <w:r>
        <w:rPr>
          <w:color w:val="003C78"/>
        </w:rPr>
        <w:t>portes</w:t>
      </w:r>
      <w:r>
        <w:rPr>
          <w:color w:val="003C78"/>
          <w:spacing w:val="-10"/>
        </w:rPr>
        <w:t> </w:t>
      </w:r>
      <w:r>
        <w:rPr>
          <w:color w:val="003C78"/>
        </w:rPr>
        <w:t>en</w:t>
      </w:r>
      <w:r>
        <w:rPr>
          <w:color w:val="003C78"/>
          <w:spacing w:val="-8"/>
        </w:rPr>
        <w:t> </w:t>
      </w:r>
      <w:r>
        <w:rPr>
          <w:color w:val="003C78"/>
        </w:rPr>
        <w:t>bois</w:t>
      </w:r>
      <w:r>
        <w:rPr>
          <w:color w:val="003C78"/>
          <w:spacing w:val="-10"/>
        </w:rPr>
        <w:t> </w:t>
      </w:r>
      <w:r>
        <w:rPr>
          <w:color w:val="003C78"/>
        </w:rPr>
        <w:t>jusqu'à</w:t>
      </w:r>
      <w:r>
        <w:rPr>
          <w:color w:val="003C78"/>
          <w:spacing w:val="-9"/>
        </w:rPr>
        <w:t> </w:t>
      </w:r>
      <w:r>
        <w:rPr>
          <w:color w:val="003C78"/>
        </w:rPr>
        <w:t>25</w:t>
      </w:r>
      <w:r>
        <w:rPr>
          <w:color w:val="003C78"/>
          <w:spacing w:val="-10"/>
        </w:rPr>
        <w:t> </w:t>
      </w:r>
      <w:r>
        <w:rPr>
          <w:color w:val="003C78"/>
        </w:rPr>
        <w:t>kg</w:t>
      </w:r>
      <w:r>
        <w:rPr>
          <w:color w:val="003C78"/>
          <w:spacing w:val="-6"/>
        </w:rPr>
        <w:t> </w:t>
      </w:r>
      <w:r>
        <w:rPr>
          <w:color w:val="003C78"/>
        </w:rPr>
        <w:t>par porte. Permet un aménagement intérieur multifonctionnel, associé à un design affleurant.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167" w:firstLine="0"/>
        <w:jc w:val="center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Emboîtement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simple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par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repliement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l'ensemble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façade</w:t>
      </w:r>
      <w:r>
        <w:rPr>
          <w:spacing w:val="-2"/>
          <w:position w:val="1"/>
          <w:sz w:val="20"/>
        </w:rPr>
        <w:t> </w:t>
      </w:r>
      <w:r>
        <w:rPr>
          <w:spacing w:val="-7"/>
          <w:position w:val="1"/>
          <w:sz w:val="20"/>
        </w:rPr>
        <w:t>du</w:t>
      </w:r>
    </w:p>
    <w:p>
      <w:pPr>
        <w:pStyle w:val="BodyText"/>
        <w:spacing w:line="230" w:lineRule="exact"/>
        <w:ind w:left="572" w:right="167"/>
        <w:jc w:val="center"/>
      </w:pPr>
      <w:r>
        <w:rPr/>
        <w:t>meuble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un seul</w:t>
      </w:r>
      <w:r>
        <w:rPr>
          <w:spacing w:val="-8"/>
        </w:rPr>
        <w:t> </w:t>
      </w:r>
      <w:r>
        <w:rPr>
          <w:spacing w:val="-2"/>
        </w:rPr>
        <w:t>geste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109" w:hanging="1418"/>
      </w:pPr>
      <w:r>
        <w:rPr>
          <w:b/>
          <w:spacing w:val="-2"/>
        </w:rPr>
        <w:t>Esthétique</w:t>
      </w:r>
      <w:r>
        <w:rPr>
          <w:b/>
        </w:rPr>
        <w:tab/>
      </w:r>
      <w:r>
        <w:rPr>
          <w:position w:val="1"/>
        </w:rPr>
        <w:t>Appuie</w:t>
      </w:r>
      <w:r>
        <w:rPr>
          <w:spacing w:val="-4"/>
          <w:position w:val="1"/>
        </w:rPr>
        <w:t> </w:t>
      </w:r>
      <w:r>
        <w:rPr>
          <w:position w:val="1"/>
        </w:rPr>
        <w:t>les</w:t>
      </w:r>
      <w:r>
        <w:rPr>
          <w:spacing w:val="-8"/>
          <w:position w:val="1"/>
        </w:rPr>
        <w:t> </w:t>
      </w:r>
      <w:r>
        <w:rPr>
          <w:position w:val="1"/>
        </w:rPr>
        <w:t>tendances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10"/>
          <w:position w:val="1"/>
        </w:rPr>
        <w:t> </w:t>
      </w:r>
      <w:r>
        <w:rPr>
          <w:position w:val="1"/>
        </w:rPr>
        <w:t>l’aménagement</w:t>
      </w:r>
      <w:r>
        <w:rPr>
          <w:spacing w:val="-6"/>
          <w:position w:val="1"/>
        </w:rPr>
        <w:t> </w:t>
      </w:r>
      <w:r>
        <w:rPr>
          <w:position w:val="1"/>
        </w:rPr>
        <w:t>intérieur</w:t>
      </w:r>
      <w:r>
        <w:rPr>
          <w:spacing w:val="-3"/>
          <w:position w:val="1"/>
        </w:rPr>
        <w:t> </w:t>
      </w:r>
      <w:r>
        <w:rPr>
          <w:position w:val="1"/>
        </w:rPr>
        <w:t>moderne</w:t>
      </w:r>
      <w:r>
        <w:rPr>
          <w:spacing w:val="-4"/>
          <w:position w:val="1"/>
        </w:rPr>
        <w:t> </w:t>
      </w:r>
      <w:r>
        <w:rPr>
          <w:position w:val="1"/>
        </w:rPr>
        <w:t>vers</w:t>
      </w:r>
      <w:r>
        <w:rPr>
          <w:spacing w:val="-8"/>
          <w:position w:val="1"/>
        </w:rPr>
        <w:t> </w:t>
      </w:r>
      <w:r>
        <w:rPr>
          <w:position w:val="1"/>
        </w:rPr>
        <w:t>des </w:t>
      </w:r>
      <w:r>
        <w:rPr/>
        <w:t>solutions affleurantes, à hauteur de pièce et de grande capacité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2845" w:firstLine="0"/>
        <w:jc w:val="center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25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19–26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12"/>
        <w:ind w:left="2440"/>
      </w:pPr>
      <w:r>
        <w:rPr>
          <w:position w:val="1"/>
        </w:rPr>
        <w:t>Hauteur</w:t>
      </w:r>
      <w:r>
        <w:rPr>
          <w:spacing w:val="-5"/>
          <w:position w:val="1"/>
        </w:rPr>
        <w:t> </w:t>
      </w:r>
      <w:r>
        <w:rPr>
          <w:position w:val="1"/>
        </w:rPr>
        <w:t>de</w:t>
      </w:r>
      <w:r>
        <w:rPr>
          <w:spacing w:val="-5"/>
          <w:position w:val="1"/>
        </w:rPr>
        <w:t> </w:t>
      </w:r>
      <w:r>
        <w:rPr>
          <w:position w:val="1"/>
        </w:rPr>
        <w:t>la</w:t>
      </w:r>
      <w:r>
        <w:rPr>
          <w:spacing w:val="-4"/>
          <w:position w:val="1"/>
        </w:rPr>
        <w:t> </w:t>
      </w:r>
      <w:r>
        <w:rPr>
          <w:spacing w:val="-2"/>
          <w:position w:val="1"/>
        </w:rPr>
        <w:t>porte</w:t>
      </w:r>
      <w:r>
        <w:rPr>
          <w:position w:val="1"/>
        </w:rPr>
        <w:tab/>
      </w:r>
      <w:r>
        <w:rPr/>
        <w:t>1250–2600</w:t>
      </w:r>
      <w:r>
        <w:rPr>
          <w:spacing w:val="-13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300–700</w:t>
      </w:r>
      <w:r>
        <w:rPr>
          <w:spacing w:val="-11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5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spacing w:line="173" w:lineRule="exact" w:before="22"/>
        <w:ind w:left="7155"/>
      </w:pP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10"/>
        </w:rPr>
        <w:t>/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</w:p>
    <w:p>
      <w:pPr>
        <w:pStyle w:val="BodyText"/>
        <w:spacing w:before="82"/>
        <w:ind w:left="1249"/>
      </w:pPr>
      <w:r>
        <w:rPr/>
        <w:br w:type="column"/>
      </w:r>
      <w:r>
        <w:rPr/>
        <w:t>aluminium</w:t>
      </w:r>
      <w:r>
        <w:rPr>
          <w:spacing w:val="-10"/>
        </w:rPr>
        <w:t> </w:t>
      </w:r>
      <w:r>
        <w:rPr/>
        <w:t>anodisé</w:t>
      </w:r>
      <w:r>
        <w:rPr>
          <w:spacing w:val="-9"/>
        </w:rPr>
        <w:t> </w:t>
      </w:r>
      <w:r>
        <w:rPr>
          <w:spacing w:val="-4"/>
        </w:rPr>
        <w:t>noir</w:t>
      </w:r>
    </w:p>
    <w:p>
      <w:pPr>
        <w:spacing w:after="0"/>
        <w:sectPr>
          <w:type w:val="continuous"/>
          <w:pgSz w:w="11910" w:h="16840"/>
          <w:pgMar w:header="401" w:footer="1105" w:top="1960" w:bottom="1300" w:left="460" w:right="840"/>
          <w:cols w:num="2" w:equalWidth="0">
            <w:col w:w="5865" w:space="40"/>
            <w:col w:w="4705"/>
          </w:cols>
        </w:sect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.118575pt;margin-top:99.139702pt;width:589.15pt;height:328.6pt;mso-position-horizontal-relative:page;mso-position-vertical-relative:page;z-index:-15819264" id="docshapegroup4" coordorigin="62,1983" coordsize="11783,657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11" id="docshape32" coordorigin="62,6853" coordsize="11783,511" path="m11845,6853l11289,6853,7615,6853,2897,6853,62,6853,62,7363,2897,7363,7615,7363,11289,7363,11845,7363,11845,6853xe" filled="true" fillcolor="#f4f4f4" stroked="false">
              <v:path arrowok="t"/>
              <v:fill type="solid"/>
            </v:shape>
            <v:rect style="position:absolute;left:2897;top:7340;width:4718;height:23" id="docshape3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id="docshape34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id="docshape35" coordorigin="62,7363" coordsize="11783,539" path="m11845,7363l11289,7363,7615,7363,2897,7363,62,7363,62,7902,2897,7902,7615,7902,11289,7902,11845,7902,11845,7363xe" filled="true" fillcolor="#f4f4f4" stroked="false">
              <v:path arrowok="t"/>
              <v:fill type="solid"/>
            </v:shape>
            <v:rect style="position:absolute;left:2897;top:7879;width:4718;height:23" id="docshape36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37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id="docshape38" coordorigin="62,7902" coordsize="11783,256" path="m11845,7902l11289,7902,7615,7902,2897,7902,62,7902,62,8157,2897,8157,7615,8157,11289,8157,11845,8157,11845,7902xe" filled="true" fillcolor="#f4f4f4" stroked="false">
              <v:path arrowok="t"/>
              <v:fill type="solid"/>
            </v:shape>
            <v:rect style="position:absolute;left:2897;top:8134;width:4718;height:23" id="docshape39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id="docshape40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rect style="position:absolute;left:62;top:8157;width:11772;height:397" id="docshape41" filled="true" fillcolor="#f4f4f4" stroked="false">
              <v:fill type="solid"/>
            </v:rect>
            <w10:wrap type="none"/>
          </v:group>
        </w:pict>
      </w:r>
    </w:p>
    <w:p>
      <w:pPr>
        <w:tabs>
          <w:tab w:pos="7042" w:val="left" w:leader="none"/>
        </w:tabs>
        <w:spacing w:before="54"/>
        <w:ind w:left="0" w:right="3147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147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tabs>
          <w:tab w:pos="2461" w:val="left" w:leader="none"/>
        </w:tabs>
        <w:spacing w:line="249" w:lineRule="auto" w:before="44"/>
        <w:ind w:left="2461" w:right="10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  <w:spacing w:before="7"/>
        <w:rPr>
          <w:sz w:val="19"/>
        </w:rPr>
      </w:pPr>
    </w:p>
    <w:p>
      <w:pPr>
        <w:spacing w:line="249" w:lineRule="auto" w:before="0"/>
        <w:ind w:left="2461" w:right="109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charnières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leurs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composants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 Charnières à axe de rotation vertical selon EN 15570 / 2008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3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type w:val="continuous"/>
          <w:pgSz w:w="11910" w:h="16840"/>
          <w:pgMar w:header="401" w:footer="1105" w:top="1960" w:bottom="1300" w:left="460" w:right="840"/>
        </w:sectPr>
      </w:pPr>
    </w:p>
    <w:p>
      <w:pPr>
        <w:pStyle w:val="BodyText"/>
        <w:tabs>
          <w:tab w:pos="2461" w:val="left" w:leader="none"/>
        </w:tabs>
        <w:spacing w:before="177"/>
        <w:ind w:left="2461" w:right="213" w:hanging="2349"/>
      </w:pPr>
      <w:r>
        <w:rPr>
          <w:b/>
          <w:position w:val="1"/>
        </w:rPr>
        <w:t>Version du produit</w:t>
        <w:tab/>
      </w:r>
      <w:r>
        <w:rPr/>
        <w:t>Hawa Folding Concepta 25 composé de profilés de guidage (aluminium), compas (acier galvanisé), galets de roulement et de guidage inclus, profilés d'assemblage de caisson (Connector</w:t>
      </w:r>
      <w:r>
        <w:rPr>
          <w:spacing w:val="-7"/>
        </w:rPr>
        <w:t> </w:t>
      </w:r>
      <w:r>
        <w:rPr/>
        <w:t>110</w:t>
      </w:r>
      <w:r>
        <w:rPr>
          <w:spacing w:val="-7"/>
        </w:rPr>
        <w:t> </w:t>
      </w:r>
      <w:r>
        <w:rPr/>
        <w:t>mm),</w:t>
      </w:r>
      <w:r>
        <w:rPr>
          <w:spacing w:val="-7"/>
        </w:rPr>
        <w:t> </w:t>
      </w:r>
      <w:r>
        <w:rPr/>
        <w:t>profilé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montant</w:t>
      </w:r>
      <w:r>
        <w:rPr>
          <w:spacing w:val="-7"/>
        </w:rPr>
        <w:t> </w:t>
      </w:r>
      <w:r>
        <w:rPr/>
        <w:t>horizontal,</w:t>
      </w:r>
      <w:r>
        <w:rPr>
          <w:spacing w:val="-7"/>
        </w:rPr>
        <w:t> </w:t>
      </w:r>
      <w:r>
        <w:rPr/>
        <w:t>charnières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boîtier</w:t>
      </w:r>
      <w:r>
        <w:rPr>
          <w:spacing w:val="-7"/>
        </w:rPr>
        <w:t> </w:t>
      </w:r>
      <w:r>
        <w:rPr/>
        <w:t>avec</w:t>
      </w:r>
      <w:r>
        <w:rPr>
          <w:spacing w:val="-7"/>
        </w:rPr>
        <w:t> </w:t>
      </w:r>
      <w:r>
        <w:rPr/>
        <w:t>amortisseur, charnières médiane invisible.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Profil</w:t>
      </w:r>
      <w:r>
        <w:rPr>
          <w:spacing w:val="-5"/>
        </w:rPr>
        <w:t> </w:t>
      </w:r>
      <w:r>
        <w:rPr>
          <w:spacing w:val="-2"/>
        </w:rPr>
        <w:t>inférieur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Profil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renforcement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Gâche</w:t>
      </w:r>
      <w:r>
        <w:rPr>
          <w:spacing w:val="-4"/>
        </w:rPr>
        <w:t> </w:t>
      </w:r>
      <w:r>
        <w:rPr/>
        <w:t>pour</w:t>
      </w:r>
      <w:r>
        <w:rPr>
          <w:spacing w:val="-3"/>
        </w:rPr>
        <w:t> </w:t>
      </w:r>
      <w:r>
        <w:rPr/>
        <w:t>serrure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2"/>
        </w:rPr>
        <w:t>espagnolette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Plaque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raccordement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roulement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centrage</w:t>
      </w:r>
      <w:r>
        <w:rPr>
          <w:spacing w:val="-4"/>
        </w:rPr>
        <w:t> </w:t>
      </w:r>
      <w:r>
        <w:rPr>
          <w:spacing w:val="-2"/>
        </w:rPr>
        <w:t>magnétique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9"/>
        </w:rPr>
        <w:t> </w:t>
      </w:r>
      <w:r>
        <w:rPr/>
        <w:t>Couverture</w:t>
      </w:r>
      <w:r>
        <w:rPr>
          <w:spacing w:val="-6"/>
        </w:rPr>
        <w:t> </w:t>
      </w:r>
      <w:r>
        <w:rPr/>
        <w:t>commune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2"/>
        </w:rPr>
        <w:t>centre</w:t>
      </w:r>
    </w:p>
    <w:p>
      <w:pPr>
        <w:pStyle w:val="BodyText"/>
        <w:tabs>
          <w:tab w:pos="2732" w:val="left" w:leader="dot"/>
        </w:tabs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Ferrure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redressement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6"/>
          <w:sz w:val="20"/>
        </w:rPr>
        <w:t> </w:t>
      </w:r>
      <w:r>
        <w:rPr>
          <w:sz w:val="20"/>
        </w:rPr>
        <w:t>35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charnières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boîtier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7"/>
          <w:sz w:val="20"/>
        </w:rPr>
        <w:t> </w:t>
      </w:r>
      <w:r>
        <w:rPr>
          <w:sz w:val="20"/>
        </w:rPr>
        <w:t>35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7"/>
          <w:sz w:val="20"/>
        </w:rPr>
        <w:t> </w:t>
      </w:r>
      <w:r>
        <w:rPr>
          <w:sz w:val="20"/>
        </w:rPr>
        <w:t>charnières</w:t>
      </w:r>
      <w:r>
        <w:rPr>
          <w:spacing w:val="-7"/>
          <w:sz w:val="20"/>
        </w:rPr>
        <w:t> </w:t>
      </w:r>
      <w:r>
        <w:rPr>
          <w:sz w:val="20"/>
        </w:rPr>
        <w:t>médiane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pièces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</w:pPr>
    </w:p>
    <w:p>
      <w:pPr>
        <w:pStyle w:val="Heading1"/>
      </w:pPr>
      <w:r>
        <w:rPr/>
        <w:t>Côté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caisson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côté</w:t>
      </w:r>
      <w:r>
        <w:rPr>
          <w:spacing w:val="-4"/>
        </w:rPr>
        <w:t> </w:t>
      </w:r>
      <w:r>
        <w:rPr>
          <w:spacing w:val="-2"/>
        </w:rPr>
        <w:t>extérieur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Perçages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pièces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ferrure</w:t>
      </w:r>
    </w:p>
    <w:p>
      <w:pPr>
        <w:pStyle w:val="BodyText"/>
      </w:pPr>
    </w:p>
    <w:p>
      <w:pPr>
        <w:pStyle w:val="Heading1"/>
      </w:pPr>
      <w:r>
        <w:rPr/>
        <w:t>Constructions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corps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encastrée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panneau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supérieur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6"/>
          <w:sz w:val="20"/>
        </w:rPr>
        <w:t> </w:t>
      </w:r>
      <w:r>
        <w:rPr>
          <w:sz w:val="20"/>
        </w:rPr>
        <w:t>dans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5"/>
          <w:sz w:val="20"/>
        </w:rPr>
        <w:t> </w:t>
      </w:r>
      <w:r>
        <w:rPr>
          <w:sz w:val="20"/>
        </w:rPr>
        <w:t>niche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mur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socle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sans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meuble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Porte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plan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7"/>
          <w:sz w:val="20"/>
        </w:rPr>
        <w:t> </w:t>
      </w:r>
      <w:r>
        <w:rPr>
          <w:sz w:val="20"/>
        </w:rPr>
        <w:t>s'ouvrant</w:t>
      </w:r>
      <w:r>
        <w:rPr>
          <w:spacing w:val="-5"/>
          <w:sz w:val="20"/>
        </w:rPr>
        <w:t> </w:t>
      </w:r>
      <w:r>
        <w:rPr>
          <w:sz w:val="20"/>
        </w:rPr>
        <w:t>sur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supérieur</w:t>
      </w:r>
    </w:p>
    <w:sectPr>
      <w:pgSz w:w="11910" w:h="16840"/>
      <w:pgMar w:header="401" w:footer="1105" w:top="196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1772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17216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5188372</wp:posOffset>
          </wp:positionH>
          <wp:positionV relativeFrom="page">
            <wp:posOffset>827043</wp:posOffset>
          </wp:positionV>
          <wp:extent cx="1764262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4262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1581824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pacing w:val="-5"/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1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1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1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1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9"/>
      <w:ind w:left="112" w:right="109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2023-03-07T07:20:18Z</dcterms:created>
  <dcterms:modified xsi:type="dcterms:W3CDTF">2023-03-07T07:20:18Z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