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3.118575pt;margin-top:102.054565pt;width:589.15pt;height:392.65pt;mso-position-horizontal-relative:page;mso-position-vertical-relative:page;z-index:-5896" coordorigin="62,2041" coordsize="11783,7853">
            <v:shape style="position:absolute;left:62;top:2041;width:11783;height:1616" coordorigin="62,2041" coordsize="11783,1616" path="m11845,2041l11289,2041,62,2041,62,3657,11289,3657,11845,3657,11845,2041e" filled="true" fillcolor="#f4f4f4" stroked="false">
              <v:path arrowok="t"/>
              <v:fill type="solid"/>
            </v:shape>
            <v:line style="position:absolute" from="62,3671" to="573,3671" stroked="true" strokeweight="1.417425pt" strokecolor="#f4f4f4">
              <v:stroke dashstyle="solid"/>
            </v:line>
            <v:line style="position:absolute" from="573,3671" to="1253,3671" stroked="true" strokeweight="1.417425pt" strokecolor="#ff0000">
              <v:stroke dashstyle="solid"/>
            </v:line>
            <v:line style="position:absolute" from="1253,3671" to="11845,3671" stroked="true" strokeweight="1.417425pt" strokecolor="#f4f4f4">
              <v:stroke dashstyle="solid"/>
            </v:line>
            <v:shape style="position:absolute;left:62;top:3685;width:3403;height:981" coordorigin="62,3685" coordsize="3403,981" path="m3464,3685l2897,3685,62,3685,62,4666,2897,4666,3464,4666,3464,3685e" filled="true" fillcolor="#f4f4f4" stroked="false">
              <v:path arrowok="t"/>
              <v:fill type="solid"/>
            </v:shape>
            <v:shape style="position:absolute;left:2942;top:3742;width:420;height:454" type="#_x0000_t75" stroked="false">
              <v:imagedata r:id="rId7" o:title=""/>
            </v:shape>
            <v:shape style="position:absolute;left:62;top:3685;width:11783;height:2212" coordorigin="62,3685" coordsize="11783,2212" path="m11845,3685l11119,3685,4882,3685,3464,3685,3464,4666,2897,4666,62,4666,62,5358,62,5896,2897,5896,7615,5896,11289,5896,11845,5896,11845,5358,11845,4666,11845,3685e" filled="true" fillcolor="#f4f4f4" stroked="false">
              <v:path arrowok="t"/>
              <v:fill type="solid"/>
            </v:shape>
            <v:rect style="position:absolute;left:2897;top:5873;width:4718;height:23" filled="true" fillcolor="#dcdcdc" stroked="false">
              <v:fill type="solid"/>
            </v:rect>
            <v:line style="position:absolute" from="2909,5885" to="7604,5885" stroked="true" strokeweight="0pt" strokecolor="#dcdcdc">
              <v:stroke dashstyle="solid"/>
            </v:line>
            <v:rect style="position:absolute;left:7615;top:5873;width:3675;height:23" filled="true" fillcolor="#dcdcdc" stroked="false">
              <v:fill type="solid"/>
            </v:rect>
            <v:line style="position:absolute" from="7626,5885" to="11278,5885" stroked="true" strokeweight="0pt" strokecolor="#dcdcdc">
              <v:stroke dashstyle="solid"/>
            </v:line>
            <v:shape style="position:absolute;left:62;top:5896;width:11783;height:256" coordorigin="62,5896" coordsize="11783,256" path="m11845,5896l11289,5896,7615,5896,2897,5896,62,5896,62,6152,2897,6152,7615,6152,11289,6152,11845,6152,11845,5896e" filled="true" fillcolor="#f4f4f4" stroked="false">
              <v:path arrowok="t"/>
              <v:fill type="solid"/>
            </v:shape>
            <v:rect style="position:absolute;left:2897;top:6128;width:4718;height:23" filled="true" fillcolor="#dcdcdc" stroked="false">
              <v:fill type="solid"/>
            </v:rect>
            <v:line style="position:absolute" from="2909,6140" to="7604,6140" stroked="true" strokeweight="0pt" strokecolor="#dcdcdc">
              <v:stroke dashstyle="solid"/>
            </v:line>
            <v:rect style="position:absolute;left:7615;top:6128;width:3675;height:23" filled="true" fillcolor="#dcdcdc" stroked="false">
              <v:fill type="solid"/>
            </v:rect>
            <v:line style="position:absolute" from="7626,6140" to="11278,6140" stroked="true" strokeweight="0pt" strokecolor="#dcdcdc">
              <v:stroke dashstyle="solid"/>
            </v:line>
            <v:shape style="position:absolute;left:62;top:6151;width:11783;height:256" coordorigin="62,6152" coordsize="11783,256" path="m11845,6152l11289,6152,7615,6152,2897,6152,62,6152,62,6407,2897,6407,7615,6407,11289,6407,11845,6407,11845,6152e" filled="true" fillcolor="#f4f4f4" stroked="false">
              <v:path arrowok="t"/>
              <v:fill type="solid"/>
            </v:shape>
            <v:rect style="position:absolute;left:2897;top:6384;width:4718;height:23" filled="true" fillcolor="#dcdcdc" stroked="false">
              <v:fill type="solid"/>
            </v:rect>
            <v:line style="position:absolute" from="2909,6395" to="7604,6395" stroked="true" strokeweight="0pt" strokecolor="#dcdcdc">
              <v:stroke dashstyle="solid"/>
            </v:line>
            <v:rect style="position:absolute;left:7615;top:6384;width:3675;height:23" filled="true" fillcolor="#dcdcdc" stroked="false">
              <v:fill type="solid"/>
            </v:rect>
            <v:line style="position:absolute" from="7626,6395" to="11278,6395" stroked="true" strokeweight="0pt" strokecolor="#dcdcdc">
              <v:stroke dashstyle="solid"/>
            </v:line>
            <v:shape style="position:absolute;left:62;top:6406;width:11783;height:256" coordorigin="62,6407" coordsize="11783,256" path="m11845,6407l11289,6407,7615,6407,2897,6407,62,6407,62,6662,2897,6662,7615,6662,11289,6662,11845,6662,11845,6407e" filled="true" fillcolor="#f4f4f4" stroked="false">
              <v:path arrowok="t"/>
              <v:fill type="solid"/>
            </v:shape>
            <v:rect style="position:absolute;left:2897;top:6639;width:4718;height:23" filled="true" fillcolor="#dcdcdc" stroked="false">
              <v:fill type="solid"/>
            </v:rect>
            <v:line style="position:absolute" from="2909,6651" to="7604,6651" stroked="true" strokeweight="0pt" strokecolor="#dcdcdc">
              <v:stroke dashstyle="solid"/>
            </v:line>
            <v:rect style="position:absolute;left:7615;top:6639;width:3675;height:23" filled="true" fillcolor="#dcdcdc" stroked="false">
              <v:fill type="solid"/>
            </v:rect>
            <v:line style="position:absolute" from="7626,6651" to="11278,6651" stroked="true" strokeweight="0pt" strokecolor="#dcdcdc">
              <v:stroke dashstyle="solid"/>
            </v:line>
            <v:shape style="position:absolute;left:62;top:6661;width:11783;height:256" coordorigin="62,6662" coordsize="11783,256" path="m11845,6662l11289,6662,7615,6662,2897,6662,62,6662,62,6917,2897,6917,7615,6917,11289,6917,11845,6917,11845,6662e" filled="true" fillcolor="#f4f4f4" stroked="false">
              <v:path arrowok="t"/>
              <v:fill type="solid"/>
            </v:shape>
            <v:rect style="position:absolute;left:2897;top:6894;width:4718;height:23" filled="true" fillcolor="#dcdcdc" stroked="false">
              <v:fill type="solid"/>
            </v:rect>
            <v:line style="position:absolute" from="2909,6906" to="7604,6906" stroked="true" strokeweight="0pt" strokecolor="#dcdcdc">
              <v:stroke dashstyle="solid"/>
            </v:line>
            <v:rect style="position:absolute;left:7615;top:6894;width:3675;height:23" filled="true" fillcolor="#dcdcdc" stroked="false">
              <v:fill type="solid"/>
            </v:rect>
            <v:line style="position:absolute" from="7626,6906" to="11278,6906" stroked="true" strokeweight="0pt" strokecolor="#dcdcdc">
              <v:stroke dashstyle="solid"/>
            </v:line>
            <v:shape style="position:absolute;left:62;top:6917;width:11783;height:256" coordorigin="62,6917" coordsize="11783,256" path="m11845,6917l11289,6917,7615,6917,2897,6917,62,6917,62,7172,2897,7172,7615,7172,11289,7172,11845,7172,11845,6917e" filled="true" fillcolor="#f4f4f4" stroked="false">
              <v:path arrowok="t"/>
              <v:fill type="solid"/>
            </v:shape>
            <v:rect style="position:absolute;left:2897;top:7149;width:4718;height:23" filled="true" fillcolor="#dcdcdc" stroked="false">
              <v:fill type="solid"/>
            </v:rect>
            <v:line style="position:absolute" from="2909,7161" to="7604,7161" stroked="true" strokeweight="0pt" strokecolor="#dcdcdc">
              <v:stroke dashstyle="solid"/>
            </v:line>
            <v:rect style="position:absolute;left:7615;top:7149;width:3675;height:23" filled="true" fillcolor="#dcdcdc" stroked="false">
              <v:fill type="solid"/>
            </v:rect>
            <v:line style="position:absolute" from="7626,7161" to="11278,7161" stroked="true" strokeweight="0pt" strokecolor="#dcdcdc">
              <v:stroke dashstyle="solid"/>
            </v:line>
            <v:shape style="position:absolute;left:62;top:7172;width:11783;height:256" coordorigin="62,7172" coordsize="11783,256" path="m11845,7172l11289,7172,7615,7172,2897,7172,62,7172,62,7427,2897,7427,7615,7427,11289,7427,11845,7427,11845,7172e" filled="true" fillcolor="#f4f4f4" stroked="false">
              <v:path arrowok="t"/>
              <v:fill type="solid"/>
            </v:shape>
            <v:rect style="position:absolute;left:2897;top:7404;width:4718;height:23" filled="true" fillcolor="#dcdcdc" stroked="false">
              <v:fill type="solid"/>
            </v:rect>
            <v:line style="position:absolute" from="2909,7416" to="7604,7416" stroked="true" strokeweight="0pt" strokecolor="#dcdcdc">
              <v:stroke dashstyle="solid"/>
            </v:line>
            <v:rect style="position:absolute;left:7615;top:7404;width:3675;height:23" filled="true" fillcolor="#dcdcdc" stroked="false">
              <v:fill type="solid"/>
            </v:rect>
            <v:line style="position:absolute" from="7626,7416" to="11278,7416" stroked="true" strokeweight="0pt" strokecolor="#dcdcdc">
              <v:stroke dashstyle="solid"/>
            </v:line>
            <v:shape style="position:absolute;left:62;top:7427;width:11783;height:256" coordorigin="62,7427" coordsize="11783,256" path="m11845,7427l11289,7427,7615,7427,2897,7427,62,7427,62,7682,2897,7682,7615,7682,11289,7682,11845,7682,11845,7427e" filled="true" fillcolor="#f4f4f4" stroked="false">
              <v:path arrowok="t"/>
              <v:fill type="solid"/>
            </v:shape>
            <v:rect style="position:absolute;left:2897;top:7659;width:4718;height:23" filled="true" fillcolor="#dcdcdc" stroked="false">
              <v:fill type="solid"/>
            </v:rect>
            <v:line style="position:absolute" from="2909,7671" to="7604,7671" stroked="true" strokeweight="0pt" strokecolor="#dcdcdc">
              <v:stroke dashstyle="solid"/>
            </v:line>
            <v:rect style="position:absolute;left:7615;top:7659;width:3675;height:23" filled="true" fillcolor="#dcdcdc" stroked="false">
              <v:fill type="solid"/>
            </v:rect>
            <v:line style="position:absolute" from="7626,7671" to="11278,7671" stroked="true" strokeweight="0pt" strokecolor="#dcdcdc">
              <v:stroke dashstyle="solid"/>
            </v:line>
            <v:shape style="position:absolute;left:62;top:7682;width:11783;height:256" coordorigin="62,7682" coordsize="11783,256" path="m11845,7682l11289,7682,7615,7682,2897,7682,62,7682,62,7938,2897,7938,7615,7938,11289,7938,11845,7938,11845,7682e" filled="true" fillcolor="#f4f4f4" stroked="false">
              <v:path arrowok="t"/>
              <v:fill type="solid"/>
            </v:shape>
            <v:rect style="position:absolute;left:2897;top:7914;width:4718;height:23" filled="true" fillcolor="#dcdcdc" stroked="false">
              <v:fill type="solid"/>
            </v:rect>
            <v:line style="position:absolute" from="2909,7926" to="7604,7926" stroked="true" strokeweight="0pt" strokecolor="#dcdcdc">
              <v:stroke dashstyle="solid"/>
            </v:line>
            <v:rect style="position:absolute;left:7615;top:7914;width:3675;height:23" filled="true" fillcolor="#dcdcdc" stroked="false">
              <v:fill type="solid"/>
            </v:rect>
            <v:line style="position:absolute" from="7626,7926" to="11278,7926" stroked="true" strokeweight="0pt" strokecolor="#dcdcdc">
              <v:stroke dashstyle="solid"/>
            </v:line>
            <v:shape style="position:absolute;left:62;top:7937;width:11783;height:539" coordorigin="62,7938" coordsize="11783,539" path="m11845,7938l11289,7938,7615,7938,2897,7938,62,7938,62,8476,2897,8476,7615,8476,11289,8476,11845,8476,11845,7938e" filled="true" fillcolor="#f4f4f4" stroked="false">
              <v:path arrowok="t"/>
              <v:fill type="solid"/>
            </v:shape>
            <v:rect style="position:absolute;left:2897;top:8453;width:4718;height:23" filled="true" fillcolor="#dcdcdc" stroked="false">
              <v:fill type="solid"/>
            </v:rect>
            <v:line style="position:absolute" from="2909,8465" to="7604,8465" stroked="true" strokeweight="0pt" strokecolor="#dcdcdc">
              <v:stroke dashstyle="solid"/>
            </v:line>
            <v:rect style="position:absolute;left:7615;top:8453;width:3675;height:23" filled="true" fillcolor="#dcdcdc" stroked="false">
              <v:fill type="solid"/>
            </v:rect>
            <v:line style="position:absolute" from="7626,8465" to="11278,8465" stroked="true" strokeweight="0pt" strokecolor="#dcdcdc">
              <v:stroke dashstyle="solid"/>
            </v:line>
            <v:shape style="position:absolute;left:62;top:8476;width:11783;height:256" coordorigin="62,8476" coordsize="11783,256" path="m11845,8476l11289,8476,7615,8476,2897,8476,62,8476,62,8731,2897,8731,7615,8731,11289,8731,11845,8731,11845,8476e" filled="true" fillcolor="#f4f4f4" stroked="false">
              <v:path arrowok="t"/>
              <v:fill type="solid"/>
            </v:shape>
            <v:rect style="position:absolute;left:2897;top:8708;width:4718;height:23" filled="true" fillcolor="#dcdcdc" stroked="false">
              <v:fill type="solid"/>
            </v:rect>
            <v:line style="position:absolute" from="2909,8720" to="7604,8720" stroked="true" strokeweight="0pt" strokecolor="#dcdcdc">
              <v:stroke dashstyle="solid"/>
            </v:line>
            <v:rect style="position:absolute;left:7615;top:8708;width:3675;height:23" filled="true" fillcolor="#dcdcdc" stroked="false">
              <v:fill type="solid"/>
            </v:rect>
            <v:line style="position:absolute" from="7626,8720" to="11278,8720" stroked="true" strokeweight="0pt" strokecolor="#dcdcdc">
              <v:stroke dashstyle="solid"/>
            </v:line>
            <v:shape style="position:absolute;left:62;top:8731;width:11783;height:256" coordorigin="62,8731" coordsize="11783,256" path="m11845,8731l11289,8731,7615,8731,2897,8731,62,8731,62,8986,2897,8986,7615,8986,11289,8986,11845,8986,11845,8731e" filled="true" fillcolor="#f4f4f4" stroked="false">
              <v:path arrowok="t"/>
              <v:fill type="solid"/>
            </v:shape>
            <v:rect style="position:absolute;left:2897;top:8963;width:4718;height:23" filled="true" fillcolor="#dcdcdc" stroked="false">
              <v:fill type="solid"/>
            </v:rect>
            <v:line style="position:absolute" from="2909,8975" to="7604,8975" stroked="true" strokeweight="0pt" strokecolor="#dcdcdc">
              <v:stroke dashstyle="solid"/>
            </v:line>
            <v:rect style="position:absolute;left:7615;top:8963;width:3675;height:23" filled="true" fillcolor="#dcdcdc" stroked="false">
              <v:fill type="solid"/>
            </v:rect>
            <v:line style="position:absolute" from="7626,8975" to="11278,8975" stroked="true" strokeweight="0pt" strokecolor="#dcdcdc">
              <v:stroke dashstyle="solid"/>
            </v:line>
            <v:shape style="position:absolute;left:62;top:8986;width:11783;height:256" coordorigin="62,8986" coordsize="11783,256" path="m11845,8986l11289,8986,7615,8986,2897,8986,62,8986,62,9242,2897,9242,7615,9242,11289,9242,11845,9242,11845,8986e" filled="true" fillcolor="#f4f4f4" stroked="false">
              <v:path arrowok="t"/>
              <v:fill type="solid"/>
            </v:shape>
            <v:rect style="position:absolute;left:2897;top:9218;width:4718;height:23" filled="true" fillcolor="#dcdcdc" stroked="false">
              <v:fill type="solid"/>
            </v:rect>
            <v:line style="position:absolute" from="2909,9230" to="7604,9230" stroked="true" strokeweight="0pt" strokecolor="#dcdcdc">
              <v:stroke dashstyle="solid"/>
            </v:line>
            <v:rect style="position:absolute;left:7615;top:9218;width:3675;height:23" filled="true" fillcolor="#dcdcdc" stroked="false">
              <v:fill type="solid"/>
            </v:rect>
            <v:line style="position:absolute" from="7626,9230" to="11278,9230" stroked="true" strokeweight="0pt" strokecolor="#dcdcdc">
              <v:stroke dashstyle="solid"/>
            </v:line>
            <v:shape style="position:absolute;left:62;top:9241;width:11783;height:256" coordorigin="62,9242" coordsize="11783,256" path="m11845,9242l11289,9242,7615,9242,2897,9242,62,9242,62,9497,2897,9497,7615,9497,11289,9497,11845,9497,11845,9242e" filled="true" fillcolor="#f4f4f4" stroked="false">
              <v:path arrowok="t"/>
              <v:fill type="solid"/>
            </v:shape>
            <v:rect style="position:absolute;left:2897;top:9474;width:4718;height:23" filled="true" fillcolor="#dcdcdc" stroked="false">
              <v:fill type="solid"/>
            </v:rect>
            <v:line style="position:absolute" from="2909,9485" to="7604,9485" stroked="true" strokeweight="0pt" strokecolor="#dcdcdc">
              <v:stroke dashstyle="solid"/>
            </v:line>
            <v:rect style="position:absolute;left:7615;top:9474;width:3675;height:23" filled="true" fillcolor="#dcdcdc" stroked="false">
              <v:fill type="solid"/>
            </v:rect>
            <v:line style="position:absolute" from="7626,9485" to="11278,9485" stroked="true" strokeweight="0pt" strokecolor="#dcdcdc">
              <v:stroke dashstyle="solid"/>
            </v:line>
            <v:rect style="position:absolute;left:62;top:9496;width:11772;height:397" filled="true" fillcolor="#f4f4f4" stroked="false">
              <v:fill type="solid"/>
            </v:rect>
            <v:shape style="position:absolute;left:2894;top:4673;width:482;height:454" type="#_x0000_t75" stroked="false">
              <v:imagedata r:id="rId8" o:title=""/>
            </v:shape>
            <w10:wrap type="none"/>
          </v:group>
        </w:pict>
      </w:r>
    </w:p>
    <w:p>
      <w:pPr>
        <w:pStyle w:val="BodyText"/>
        <w:spacing w:before="6"/>
        <w:rPr>
          <w:rFonts w:ascii="Times New Roman"/>
          <w:sz w:val="17"/>
        </w:rPr>
      </w:pPr>
    </w:p>
    <w:p>
      <w:pPr>
        <w:spacing w:line="237" w:lineRule="auto" w:before="101"/>
        <w:ind w:left="115" w:right="492" w:firstLine="0"/>
        <w:jc w:val="both"/>
        <w:rPr>
          <w:b/>
          <w:sz w:val="24"/>
        </w:rPr>
      </w:pPr>
      <w:r>
        <w:rPr>
          <w:b/>
          <w:color w:val="003C78"/>
          <w:sz w:val="24"/>
        </w:rPr>
        <w:t>Ferrure</w:t>
      </w:r>
      <w:r>
        <w:rPr>
          <w:b/>
          <w:color w:val="003C78"/>
          <w:spacing w:val="-6"/>
          <w:sz w:val="24"/>
        </w:rPr>
        <w:t> </w:t>
      </w:r>
      <w:r>
        <w:rPr>
          <w:b/>
          <w:color w:val="003C78"/>
          <w:sz w:val="24"/>
        </w:rPr>
        <w:t>pour</w:t>
      </w:r>
      <w:r>
        <w:rPr>
          <w:b/>
          <w:color w:val="003C78"/>
          <w:spacing w:val="-5"/>
          <w:sz w:val="24"/>
        </w:rPr>
        <w:t> </w:t>
      </w:r>
      <w:r>
        <w:rPr>
          <w:b/>
          <w:color w:val="003C78"/>
          <w:sz w:val="24"/>
        </w:rPr>
        <w:t>2</w:t>
      </w:r>
      <w:r>
        <w:rPr>
          <w:b/>
          <w:color w:val="003C78"/>
          <w:spacing w:val="-5"/>
          <w:sz w:val="24"/>
        </w:rPr>
        <w:t> </w:t>
      </w:r>
      <w:r>
        <w:rPr>
          <w:b/>
          <w:color w:val="003C78"/>
          <w:sz w:val="24"/>
        </w:rPr>
        <w:t>à</w:t>
      </w:r>
      <w:r>
        <w:rPr>
          <w:b/>
          <w:color w:val="003C78"/>
          <w:spacing w:val="-5"/>
          <w:sz w:val="24"/>
        </w:rPr>
        <w:t> </w:t>
      </w:r>
      <w:r>
        <w:rPr>
          <w:b/>
          <w:color w:val="003C78"/>
          <w:sz w:val="24"/>
        </w:rPr>
        <w:t>10</w:t>
      </w:r>
      <w:r>
        <w:rPr>
          <w:b/>
          <w:color w:val="003C78"/>
          <w:spacing w:val="-5"/>
          <w:sz w:val="24"/>
        </w:rPr>
        <w:t> </w:t>
      </w:r>
      <w:r>
        <w:rPr>
          <w:b/>
          <w:color w:val="003C78"/>
          <w:sz w:val="24"/>
        </w:rPr>
        <w:t>volets</w:t>
      </w:r>
      <w:r>
        <w:rPr>
          <w:b/>
          <w:color w:val="003C78"/>
          <w:spacing w:val="-5"/>
          <w:sz w:val="24"/>
        </w:rPr>
        <w:t> </w:t>
      </w:r>
      <w:r>
        <w:rPr>
          <w:b/>
          <w:color w:val="003C78"/>
          <w:sz w:val="24"/>
        </w:rPr>
        <w:t>repliables</w:t>
      </w:r>
      <w:r>
        <w:rPr>
          <w:b/>
          <w:color w:val="003C78"/>
          <w:spacing w:val="-5"/>
          <w:sz w:val="24"/>
        </w:rPr>
        <w:t> </w:t>
      </w:r>
      <w:r>
        <w:rPr>
          <w:b/>
          <w:color w:val="003C78"/>
          <w:sz w:val="24"/>
        </w:rPr>
        <w:t>en</w:t>
      </w:r>
      <w:r>
        <w:rPr>
          <w:b/>
          <w:color w:val="003C78"/>
          <w:spacing w:val="-6"/>
          <w:sz w:val="24"/>
        </w:rPr>
        <w:t> </w:t>
      </w:r>
      <w:r>
        <w:rPr>
          <w:b/>
          <w:color w:val="003C78"/>
          <w:sz w:val="24"/>
        </w:rPr>
        <w:t>accordéon</w:t>
      </w:r>
      <w:r>
        <w:rPr>
          <w:b/>
          <w:color w:val="003C78"/>
          <w:spacing w:val="-5"/>
          <w:sz w:val="24"/>
        </w:rPr>
        <w:t> </w:t>
      </w:r>
      <w:r>
        <w:rPr>
          <w:b/>
          <w:color w:val="003C78"/>
          <w:sz w:val="24"/>
        </w:rPr>
        <w:t>en</w:t>
      </w:r>
      <w:r>
        <w:rPr>
          <w:b/>
          <w:color w:val="003C78"/>
          <w:spacing w:val="-5"/>
          <w:sz w:val="24"/>
        </w:rPr>
        <w:t> </w:t>
      </w:r>
      <w:r>
        <w:rPr>
          <w:b/>
          <w:color w:val="003C78"/>
          <w:sz w:val="24"/>
        </w:rPr>
        <w:t>bois</w:t>
      </w:r>
      <w:r>
        <w:rPr>
          <w:b/>
          <w:color w:val="003C78"/>
          <w:spacing w:val="-5"/>
          <w:sz w:val="24"/>
        </w:rPr>
        <w:t> </w:t>
      </w:r>
      <w:r>
        <w:rPr>
          <w:b/>
          <w:color w:val="003C78"/>
          <w:sz w:val="24"/>
        </w:rPr>
        <w:t>et</w:t>
      </w:r>
      <w:r>
        <w:rPr>
          <w:b/>
          <w:color w:val="003C78"/>
          <w:spacing w:val="-5"/>
          <w:sz w:val="24"/>
        </w:rPr>
        <w:t> </w:t>
      </w:r>
      <w:r>
        <w:rPr>
          <w:b/>
          <w:color w:val="003C78"/>
          <w:sz w:val="24"/>
        </w:rPr>
        <w:t>métal</w:t>
      </w:r>
      <w:r>
        <w:rPr>
          <w:b/>
          <w:color w:val="003C78"/>
          <w:spacing w:val="-5"/>
          <w:sz w:val="24"/>
        </w:rPr>
        <w:t> </w:t>
      </w:r>
      <w:r>
        <w:rPr>
          <w:b/>
          <w:color w:val="003C78"/>
          <w:sz w:val="24"/>
        </w:rPr>
        <w:t>jusqu’à</w:t>
      </w:r>
      <w:r>
        <w:rPr>
          <w:b/>
          <w:color w:val="003C78"/>
          <w:spacing w:val="-5"/>
          <w:sz w:val="24"/>
        </w:rPr>
        <w:t> </w:t>
      </w:r>
      <w:r>
        <w:rPr>
          <w:b/>
          <w:color w:val="003C78"/>
          <w:sz w:val="24"/>
        </w:rPr>
        <w:t>30</w:t>
      </w:r>
      <w:r>
        <w:rPr>
          <w:b/>
          <w:color w:val="003C78"/>
          <w:spacing w:val="-5"/>
          <w:sz w:val="24"/>
        </w:rPr>
        <w:t> </w:t>
      </w:r>
      <w:r>
        <w:rPr>
          <w:b/>
          <w:color w:val="003C78"/>
          <w:sz w:val="24"/>
        </w:rPr>
        <w:t>kg</w:t>
      </w:r>
      <w:r>
        <w:rPr>
          <w:b/>
          <w:color w:val="003C78"/>
          <w:spacing w:val="-6"/>
          <w:sz w:val="24"/>
        </w:rPr>
        <w:t> </w:t>
      </w:r>
      <w:r>
        <w:rPr>
          <w:b/>
          <w:color w:val="003C78"/>
          <w:sz w:val="24"/>
        </w:rPr>
        <w:t>par</w:t>
      </w:r>
      <w:r>
        <w:rPr>
          <w:b/>
          <w:color w:val="003C78"/>
          <w:spacing w:val="-5"/>
          <w:sz w:val="24"/>
        </w:rPr>
        <w:t> </w:t>
      </w:r>
      <w:r>
        <w:rPr>
          <w:b/>
          <w:color w:val="003C78"/>
          <w:sz w:val="24"/>
        </w:rPr>
        <w:t>volet et</w:t>
      </w:r>
      <w:r>
        <w:rPr>
          <w:b/>
          <w:color w:val="003C78"/>
          <w:spacing w:val="-6"/>
          <w:sz w:val="24"/>
        </w:rPr>
        <w:t> </w:t>
      </w:r>
      <w:r>
        <w:rPr>
          <w:b/>
          <w:color w:val="003C78"/>
          <w:sz w:val="24"/>
        </w:rPr>
        <w:t>180</w:t>
      </w:r>
      <w:r>
        <w:rPr>
          <w:b/>
          <w:color w:val="003C78"/>
          <w:spacing w:val="-6"/>
          <w:sz w:val="24"/>
        </w:rPr>
        <w:t> </w:t>
      </w:r>
      <w:r>
        <w:rPr>
          <w:b/>
          <w:color w:val="003C78"/>
          <w:sz w:val="24"/>
        </w:rPr>
        <w:t>kg</w:t>
      </w:r>
      <w:r>
        <w:rPr>
          <w:b/>
          <w:color w:val="003C78"/>
          <w:spacing w:val="-5"/>
          <w:sz w:val="24"/>
        </w:rPr>
        <w:t> </w:t>
      </w:r>
      <w:r>
        <w:rPr>
          <w:b/>
          <w:color w:val="003C78"/>
          <w:sz w:val="24"/>
        </w:rPr>
        <w:t>par</w:t>
      </w:r>
      <w:r>
        <w:rPr>
          <w:b/>
          <w:color w:val="003C78"/>
          <w:spacing w:val="-6"/>
          <w:sz w:val="24"/>
        </w:rPr>
        <w:t> </w:t>
      </w:r>
      <w:r>
        <w:rPr>
          <w:b/>
          <w:color w:val="003C78"/>
          <w:sz w:val="24"/>
        </w:rPr>
        <w:t>installation,</w:t>
      </w:r>
      <w:r>
        <w:rPr>
          <w:b/>
          <w:color w:val="003C78"/>
          <w:spacing w:val="-5"/>
          <w:sz w:val="24"/>
        </w:rPr>
        <w:t> </w:t>
      </w:r>
      <w:r>
        <w:rPr>
          <w:b/>
          <w:color w:val="003C78"/>
          <w:sz w:val="24"/>
        </w:rPr>
        <w:t>avec</w:t>
      </w:r>
      <w:r>
        <w:rPr>
          <w:b/>
          <w:color w:val="003C78"/>
          <w:spacing w:val="-6"/>
          <w:sz w:val="24"/>
        </w:rPr>
        <w:t> </w:t>
      </w:r>
      <w:r>
        <w:rPr>
          <w:b/>
          <w:color w:val="003C78"/>
          <w:sz w:val="24"/>
        </w:rPr>
        <w:t>rail</w:t>
      </w:r>
      <w:r>
        <w:rPr>
          <w:b/>
          <w:color w:val="003C78"/>
          <w:spacing w:val="-5"/>
          <w:sz w:val="24"/>
        </w:rPr>
        <w:t> </w:t>
      </w:r>
      <w:r>
        <w:rPr>
          <w:b/>
          <w:color w:val="003C78"/>
          <w:sz w:val="24"/>
        </w:rPr>
        <w:t>de</w:t>
      </w:r>
      <w:r>
        <w:rPr>
          <w:b/>
          <w:color w:val="003C78"/>
          <w:spacing w:val="-6"/>
          <w:sz w:val="24"/>
        </w:rPr>
        <w:t> </w:t>
      </w:r>
      <w:r>
        <w:rPr>
          <w:b/>
          <w:color w:val="003C78"/>
          <w:sz w:val="24"/>
        </w:rPr>
        <w:t>roulement</w:t>
      </w:r>
      <w:r>
        <w:rPr>
          <w:b/>
          <w:color w:val="003C78"/>
          <w:spacing w:val="-5"/>
          <w:sz w:val="24"/>
        </w:rPr>
        <w:t> </w:t>
      </w:r>
      <w:r>
        <w:rPr>
          <w:b/>
          <w:color w:val="003C78"/>
          <w:sz w:val="24"/>
        </w:rPr>
        <w:t>visible</w:t>
      </w:r>
      <w:r>
        <w:rPr>
          <w:b/>
          <w:color w:val="003C78"/>
          <w:spacing w:val="-6"/>
          <w:sz w:val="24"/>
        </w:rPr>
        <w:t> </w:t>
      </w:r>
      <w:r>
        <w:rPr>
          <w:b/>
          <w:color w:val="003C78"/>
          <w:sz w:val="24"/>
        </w:rPr>
        <w:t>et</w:t>
      </w:r>
      <w:r>
        <w:rPr>
          <w:b/>
          <w:color w:val="003C78"/>
          <w:spacing w:val="-5"/>
          <w:sz w:val="24"/>
        </w:rPr>
        <w:t> </w:t>
      </w:r>
      <w:r>
        <w:rPr>
          <w:b/>
          <w:color w:val="003C78"/>
          <w:sz w:val="24"/>
        </w:rPr>
        <w:t>rail</w:t>
      </w:r>
      <w:r>
        <w:rPr>
          <w:b/>
          <w:color w:val="003C78"/>
          <w:spacing w:val="-6"/>
          <w:sz w:val="24"/>
        </w:rPr>
        <w:t> </w:t>
      </w:r>
      <w:r>
        <w:rPr>
          <w:b/>
          <w:color w:val="003C78"/>
          <w:sz w:val="24"/>
        </w:rPr>
        <w:t>de</w:t>
      </w:r>
      <w:r>
        <w:rPr>
          <w:b/>
          <w:color w:val="003C78"/>
          <w:spacing w:val="-5"/>
          <w:sz w:val="24"/>
        </w:rPr>
        <w:t> </w:t>
      </w:r>
      <w:r>
        <w:rPr>
          <w:b/>
          <w:color w:val="003C78"/>
          <w:sz w:val="24"/>
        </w:rPr>
        <w:t>guidage</w:t>
      </w:r>
      <w:r>
        <w:rPr>
          <w:b/>
          <w:color w:val="003C78"/>
          <w:spacing w:val="-6"/>
          <w:sz w:val="24"/>
        </w:rPr>
        <w:t> </w:t>
      </w:r>
      <w:r>
        <w:rPr>
          <w:b/>
          <w:color w:val="003C78"/>
          <w:sz w:val="24"/>
        </w:rPr>
        <w:t>invisible.</w:t>
      </w:r>
      <w:r>
        <w:rPr>
          <w:b/>
          <w:color w:val="003C78"/>
          <w:spacing w:val="-5"/>
          <w:sz w:val="24"/>
        </w:rPr>
        <w:t> </w:t>
      </w:r>
      <w:r>
        <w:rPr>
          <w:b/>
          <w:color w:val="003C78"/>
          <w:sz w:val="24"/>
        </w:rPr>
        <w:t>Design Mixslide, guidage par le</w:t>
      </w:r>
      <w:r>
        <w:rPr>
          <w:b/>
          <w:color w:val="003C78"/>
          <w:spacing w:val="-6"/>
          <w:sz w:val="24"/>
        </w:rPr>
        <w:t> </w:t>
      </w:r>
      <w:r>
        <w:rPr>
          <w:b/>
          <w:color w:val="003C78"/>
          <w:sz w:val="24"/>
        </w:rPr>
        <w:t>dessous.</w:t>
      </w:r>
    </w:p>
    <w:p>
      <w:pPr>
        <w:pStyle w:val="BodyText"/>
        <w:rPr>
          <w:b/>
        </w:rPr>
      </w:pPr>
    </w:p>
    <w:p>
      <w:pPr>
        <w:pStyle w:val="BodyText"/>
        <w:rPr>
          <w:b/>
        </w:rPr>
      </w:pPr>
    </w:p>
    <w:p>
      <w:pPr>
        <w:tabs>
          <w:tab w:pos="3004" w:val="left" w:leader="none"/>
          <w:tab w:pos="4422" w:val="left" w:leader="none"/>
        </w:tabs>
        <w:spacing w:line="238" w:lineRule="exact" w:before="219"/>
        <w:ind w:left="112" w:right="0" w:firstLine="0"/>
        <w:jc w:val="left"/>
        <w:rPr>
          <w:sz w:val="20"/>
        </w:rPr>
      </w:pPr>
      <w:r>
        <w:rPr>
          <w:b/>
          <w:sz w:val="20"/>
        </w:rPr>
        <w:t>Produit</w:t>
      </w:r>
      <w:r>
        <w:rPr>
          <w:b/>
          <w:spacing w:val="-5"/>
          <w:sz w:val="20"/>
        </w:rPr>
        <w:t> </w:t>
      </w:r>
      <w:r>
        <w:rPr>
          <w:b/>
          <w:sz w:val="20"/>
        </w:rPr>
        <w:t>phares</w:t>
        <w:tab/>
        <w:t>Flexibilité</w:t>
        <w:tab/>
      </w:r>
      <w:r>
        <w:rPr>
          <w:position w:val="1"/>
          <w:sz w:val="20"/>
        </w:rPr>
        <w:t>Solution pour toute construction avec des vantaux</w:t>
      </w:r>
      <w:r>
        <w:rPr>
          <w:spacing w:val="-16"/>
          <w:position w:val="1"/>
          <w:sz w:val="20"/>
        </w:rPr>
        <w:t> </w:t>
      </w:r>
      <w:r>
        <w:rPr>
          <w:position w:val="1"/>
          <w:sz w:val="20"/>
        </w:rPr>
        <w:t>jusqu’à</w:t>
      </w:r>
    </w:p>
    <w:p>
      <w:pPr>
        <w:pStyle w:val="BodyText"/>
        <w:ind w:left="4422"/>
      </w:pPr>
      <w:r>
        <w:rPr/>
        <w:t>1,2 m² et 30 kg, nombre pair/impair de vantaux et une largeur d’installation jusqu’à 12 m maximum</w:t>
      </w:r>
    </w:p>
    <w:p>
      <w:pPr>
        <w:pStyle w:val="BodyText"/>
        <w:spacing w:before="3"/>
        <w:rPr>
          <w:sz w:val="15"/>
        </w:rPr>
      </w:pPr>
    </w:p>
    <w:p>
      <w:pPr>
        <w:pStyle w:val="BodyText"/>
        <w:tabs>
          <w:tab w:pos="4422" w:val="left" w:leader="none"/>
        </w:tabs>
        <w:spacing w:line="230" w:lineRule="auto" w:before="106"/>
        <w:ind w:left="4422" w:right="1135" w:hanging="1419"/>
      </w:pPr>
      <w:r>
        <w:rPr>
          <w:b/>
        </w:rPr>
        <w:t>Sécurité</w:t>
        <w:tab/>
      </w:r>
      <w:r>
        <w:rPr>
          <w:position w:val="1"/>
        </w:rPr>
        <w:t>Matériaux</w:t>
      </w:r>
      <w:r>
        <w:rPr>
          <w:spacing w:val="-6"/>
          <w:position w:val="1"/>
        </w:rPr>
        <w:t> </w:t>
      </w:r>
      <w:r>
        <w:rPr>
          <w:position w:val="1"/>
        </w:rPr>
        <w:t>résistants</w:t>
      </w:r>
      <w:r>
        <w:rPr>
          <w:spacing w:val="-5"/>
          <w:position w:val="1"/>
        </w:rPr>
        <w:t> </w:t>
      </w:r>
      <w:r>
        <w:rPr>
          <w:position w:val="1"/>
        </w:rPr>
        <w:t>à</w:t>
      </w:r>
      <w:r>
        <w:rPr>
          <w:spacing w:val="-6"/>
          <w:position w:val="1"/>
        </w:rPr>
        <w:t> </w:t>
      </w:r>
      <w:r>
        <w:rPr>
          <w:position w:val="1"/>
        </w:rPr>
        <w:t>la</w:t>
      </w:r>
      <w:r>
        <w:rPr>
          <w:spacing w:val="-5"/>
          <w:position w:val="1"/>
        </w:rPr>
        <w:t> </w:t>
      </w:r>
      <w:r>
        <w:rPr>
          <w:position w:val="1"/>
        </w:rPr>
        <w:t>corrosion</w:t>
      </w:r>
      <w:r>
        <w:rPr>
          <w:spacing w:val="-6"/>
          <w:position w:val="1"/>
        </w:rPr>
        <w:t> </w:t>
      </w:r>
      <w:r>
        <w:rPr>
          <w:position w:val="1"/>
        </w:rPr>
        <w:t>pour</w:t>
      </w:r>
      <w:r>
        <w:rPr>
          <w:spacing w:val="-5"/>
          <w:position w:val="1"/>
        </w:rPr>
        <w:t> </w:t>
      </w:r>
      <w:r>
        <w:rPr>
          <w:position w:val="1"/>
        </w:rPr>
        <w:t>une</w:t>
      </w:r>
      <w:r>
        <w:rPr>
          <w:spacing w:val="-6"/>
          <w:position w:val="1"/>
        </w:rPr>
        <w:t> </w:t>
      </w:r>
      <w:r>
        <w:rPr>
          <w:position w:val="1"/>
        </w:rPr>
        <w:t>utilisation</w:t>
      </w:r>
      <w:r>
        <w:rPr>
          <w:spacing w:val="-5"/>
          <w:position w:val="1"/>
        </w:rPr>
        <w:t> </w:t>
      </w:r>
      <w:r>
        <w:rPr>
          <w:spacing w:val="-3"/>
          <w:position w:val="1"/>
        </w:rPr>
        <w:t>sans </w:t>
      </w:r>
      <w:r>
        <w:rPr/>
        <w:t>hésitation même en bord de</w:t>
      </w:r>
      <w:r>
        <w:rPr>
          <w:spacing w:val="-8"/>
        </w:rPr>
        <w:t> </w:t>
      </w:r>
      <w:r>
        <w:rPr/>
        <w:t>mer</w:t>
      </w:r>
    </w:p>
    <w:p>
      <w:pPr>
        <w:pStyle w:val="BodyText"/>
        <w:spacing w:before="10"/>
        <w:rPr>
          <w:sz w:val="29"/>
        </w:rPr>
      </w:pPr>
    </w:p>
    <w:p>
      <w:pPr>
        <w:tabs>
          <w:tab w:pos="2437" w:val="left" w:leader="none"/>
          <w:tab w:pos="7154" w:val="left" w:leader="none"/>
        </w:tabs>
        <w:spacing w:before="53"/>
        <w:ind w:left="112" w:right="0" w:firstLine="0"/>
        <w:jc w:val="left"/>
        <w:rPr>
          <w:sz w:val="20"/>
        </w:rPr>
      </w:pPr>
      <w:r>
        <w:rPr>
          <w:b/>
          <w:sz w:val="20"/>
        </w:rPr>
        <w:t>Consignes</w:t>
      </w:r>
      <w:r>
        <w:rPr>
          <w:b/>
          <w:spacing w:val="-3"/>
          <w:sz w:val="20"/>
        </w:rPr>
        <w:t> </w:t>
      </w:r>
      <w:r>
        <w:rPr>
          <w:b/>
          <w:sz w:val="20"/>
        </w:rPr>
        <w:t>techniques</w:t>
        <w:tab/>
      </w:r>
      <w:r>
        <w:rPr>
          <w:position w:val="1"/>
          <w:sz w:val="20"/>
        </w:rPr>
        <w:t>Poids max.</w:t>
      </w:r>
      <w:r>
        <w:rPr>
          <w:spacing w:val="-3"/>
          <w:position w:val="1"/>
          <w:sz w:val="20"/>
        </w:rPr>
        <w:t> </w:t>
      </w:r>
      <w:r>
        <w:rPr>
          <w:position w:val="1"/>
          <w:sz w:val="20"/>
        </w:rPr>
        <w:t>du</w:t>
      </w:r>
      <w:r>
        <w:rPr>
          <w:spacing w:val="-4"/>
          <w:position w:val="1"/>
          <w:sz w:val="20"/>
        </w:rPr>
        <w:t> </w:t>
      </w:r>
      <w:r>
        <w:rPr>
          <w:position w:val="1"/>
          <w:sz w:val="20"/>
        </w:rPr>
        <w:t>volet</w:t>
        <w:tab/>
        <w:t>30</w:t>
      </w:r>
      <w:r>
        <w:rPr>
          <w:spacing w:val="4"/>
          <w:position w:val="1"/>
          <w:sz w:val="20"/>
        </w:rPr>
        <w:t> </w:t>
      </w:r>
      <w:r>
        <w:rPr>
          <w:position w:val="1"/>
          <w:sz w:val="20"/>
        </w:rPr>
        <w:t>kg</w:t>
      </w:r>
    </w:p>
    <w:p>
      <w:pPr>
        <w:pStyle w:val="BodyText"/>
        <w:tabs>
          <w:tab w:pos="7154" w:val="left" w:leader="none"/>
        </w:tabs>
        <w:spacing w:before="10"/>
        <w:ind w:left="2437"/>
      </w:pPr>
      <w:r>
        <w:rPr/>
        <w:t>Épaisseur </w:t>
      </w:r>
      <w:r>
        <w:rPr>
          <w:spacing w:val="-3"/>
        </w:rPr>
        <w:t>du</w:t>
      </w:r>
      <w:r>
        <w:rPr>
          <w:spacing w:val="1"/>
        </w:rPr>
        <w:t> </w:t>
      </w:r>
      <w:r>
        <w:rPr/>
        <w:t>volet</w:t>
        <w:tab/>
        <w:t>28–36</w:t>
      </w:r>
      <w:r>
        <w:rPr>
          <w:spacing w:val="-2"/>
        </w:rPr>
        <w:t> </w:t>
      </w:r>
      <w:r>
        <w:rPr/>
        <w:t>mm</w:t>
      </w:r>
    </w:p>
    <w:p>
      <w:pPr>
        <w:pStyle w:val="BodyText"/>
        <w:tabs>
          <w:tab w:pos="7154" w:val="left" w:leader="none"/>
        </w:tabs>
        <w:spacing w:before="22"/>
        <w:ind w:left="2437"/>
      </w:pPr>
      <w:r>
        <w:rPr/>
        <w:t>Largeur max.</w:t>
      </w:r>
      <w:r>
        <w:rPr>
          <w:spacing w:val="-1"/>
        </w:rPr>
        <w:t> </w:t>
      </w:r>
      <w:r>
        <w:rPr>
          <w:spacing w:val="-3"/>
        </w:rPr>
        <w:t>du</w:t>
      </w:r>
      <w:r>
        <w:rPr>
          <w:spacing w:val="2"/>
        </w:rPr>
        <w:t> </w:t>
      </w:r>
      <w:r>
        <w:rPr/>
        <w:t>volet</w:t>
        <w:tab/>
        <w:t>600</w:t>
      </w:r>
      <w:r>
        <w:rPr>
          <w:spacing w:val="-2"/>
        </w:rPr>
        <w:t> </w:t>
      </w:r>
      <w:r>
        <w:rPr/>
        <w:t>mm</w:t>
      </w:r>
    </w:p>
    <w:p>
      <w:pPr>
        <w:pStyle w:val="BodyText"/>
        <w:tabs>
          <w:tab w:pos="7154" w:val="left" w:leader="none"/>
        </w:tabs>
        <w:spacing w:before="22"/>
        <w:ind w:left="2437"/>
      </w:pPr>
      <w:r>
        <w:rPr/>
        <w:t>Hauteur max. du</w:t>
      </w:r>
      <w:r>
        <w:rPr>
          <w:spacing w:val="-5"/>
        </w:rPr>
        <w:t> </w:t>
      </w:r>
      <w:r>
        <w:rPr/>
        <w:t>volet</w:t>
        <w:tab/>
        <w:t>3200</w:t>
      </w:r>
      <w:r>
        <w:rPr>
          <w:spacing w:val="4"/>
        </w:rPr>
        <w:t> </w:t>
      </w:r>
      <w:r>
        <w:rPr/>
        <w:t>mm</w:t>
      </w:r>
    </w:p>
    <w:p>
      <w:pPr>
        <w:pStyle w:val="BodyText"/>
        <w:tabs>
          <w:tab w:pos="7154" w:val="left" w:leader="none"/>
        </w:tabs>
        <w:spacing w:before="22"/>
        <w:ind w:left="2437"/>
      </w:pPr>
      <w:r>
        <w:rPr/>
        <w:t>Surface d`attaque max.</w:t>
      </w:r>
      <w:r>
        <w:rPr>
          <w:spacing w:val="-4"/>
        </w:rPr>
        <w:t> </w:t>
      </w:r>
      <w:r>
        <w:rPr/>
        <w:t>par</w:t>
      </w:r>
      <w:r>
        <w:rPr>
          <w:spacing w:val="-5"/>
        </w:rPr>
        <w:t> </w:t>
      </w:r>
      <w:r>
        <w:rPr/>
        <w:t>volet</w:t>
        <w:tab/>
        <w:t>1.2</w:t>
      </w:r>
      <w:r>
        <w:rPr>
          <w:spacing w:val="-2"/>
        </w:rPr>
        <w:t> </w:t>
      </w:r>
      <w:r>
        <w:rPr/>
        <w:t>m²</w:t>
      </w:r>
    </w:p>
    <w:p>
      <w:pPr>
        <w:pStyle w:val="BodyText"/>
        <w:tabs>
          <w:tab w:pos="7154" w:val="left" w:leader="none"/>
        </w:tabs>
        <w:spacing w:before="22"/>
        <w:ind w:left="2437"/>
      </w:pPr>
      <w:r>
        <w:rPr/>
        <w:t>Largeur max.</w:t>
      </w:r>
      <w:r>
        <w:rPr>
          <w:spacing w:val="-1"/>
        </w:rPr>
        <w:t> </w:t>
      </w:r>
      <w:r>
        <w:rPr>
          <w:spacing w:val="-3"/>
        </w:rPr>
        <w:t>du</w:t>
      </w:r>
      <w:r>
        <w:rPr>
          <w:spacing w:val="2"/>
        </w:rPr>
        <w:t> </w:t>
      </w:r>
      <w:r>
        <w:rPr/>
        <w:t>volet</w:t>
        <w:tab/>
        <w:t>2 x 6000</w:t>
      </w:r>
      <w:r>
        <w:rPr>
          <w:spacing w:val="-4"/>
        </w:rPr>
        <w:t> </w:t>
      </w:r>
      <w:r>
        <w:rPr/>
        <w:t>mm</w:t>
      </w:r>
    </w:p>
    <w:p>
      <w:pPr>
        <w:pStyle w:val="BodyText"/>
        <w:tabs>
          <w:tab w:pos="7158" w:val="left" w:leader="none"/>
        </w:tabs>
        <w:spacing w:before="22"/>
        <w:ind w:left="2437"/>
        <w:rPr>
          <w:sz w:val="13"/>
        </w:rPr>
      </w:pPr>
      <w:r>
        <w:rPr/>
        <w:t>Surface</w:t>
      </w:r>
      <w:r>
        <w:rPr>
          <w:spacing w:val="-1"/>
        </w:rPr>
        <w:t> </w:t>
      </w:r>
      <w:r>
        <w:rPr/>
        <w:t>max.</w:t>
      </w:r>
      <w:r>
        <w:rPr>
          <w:spacing w:val="-6"/>
        </w:rPr>
        <w:t> </w:t>
      </w:r>
      <w:r>
        <w:rPr/>
        <w:t>d`ombrage</w:t>
        <w:tab/>
        <w:t>2 x 19.2</w:t>
      </w:r>
      <w:r>
        <w:rPr>
          <w:spacing w:val="-3"/>
        </w:rPr>
        <w:t> </w:t>
      </w:r>
      <w:r>
        <w:rPr/>
        <w:t>m</w:t>
      </w:r>
      <w:r>
        <w:rPr>
          <w:position w:val="6"/>
          <w:sz w:val="13"/>
        </w:rPr>
        <w:t>2</w:t>
      </w:r>
    </w:p>
    <w:p>
      <w:pPr>
        <w:pStyle w:val="BodyText"/>
        <w:tabs>
          <w:tab w:pos="7154" w:val="left" w:leader="none"/>
        </w:tabs>
        <w:spacing w:before="22"/>
        <w:ind w:left="2437"/>
      </w:pPr>
      <w:r>
        <w:rPr/>
        <w:t>Réglage</w:t>
      </w:r>
      <w:r>
        <w:rPr>
          <w:spacing w:val="-2"/>
        </w:rPr>
        <w:t> </w:t>
      </w:r>
      <w:r>
        <w:rPr/>
        <w:t>en</w:t>
      </w:r>
      <w:r>
        <w:rPr>
          <w:spacing w:val="1"/>
        </w:rPr>
        <w:t> </w:t>
      </w:r>
      <w:r>
        <w:rPr/>
        <w:t>hauteur</w:t>
        <w:tab/>
        <w:t>+/- 5</w:t>
      </w:r>
      <w:r>
        <w:rPr>
          <w:spacing w:val="1"/>
        </w:rPr>
        <w:t> </w:t>
      </w:r>
      <w:r>
        <w:rPr/>
        <w:t>mm</w:t>
      </w:r>
    </w:p>
    <w:p>
      <w:pPr>
        <w:pStyle w:val="BodyText"/>
        <w:tabs>
          <w:tab w:pos="7154" w:val="left" w:leader="none"/>
        </w:tabs>
        <w:spacing w:before="21"/>
        <w:ind w:left="2437"/>
      </w:pPr>
      <w:r>
        <w:rPr/>
        <w:t>Plage</w:t>
      </w:r>
      <w:r>
        <w:rPr>
          <w:spacing w:val="-1"/>
        </w:rPr>
        <w:t> </w:t>
      </w:r>
      <w:r>
        <w:rPr>
          <w:spacing w:val="-3"/>
        </w:rPr>
        <w:t>de</w:t>
      </w:r>
      <w:r>
        <w:rPr>
          <w:spacing w:val="-1"/>
        </w:rPr>
        <w:t> </w:t>
      </w:r>
      <w:r>
        <w:rPr/>
        <w:t>température</w:t>
        <w:tab/>
        <w:t>-20 °C à +80</w:t>
      </w:r>
      <w:r>
        <w:rPr>
          <w:spacing w:val="-4"/>
        </w:rPr>
        <w:t> </w:t>
      </w:r>
      <w:r>
        <w:rPr/>
        <w:t>°C</w:t>
      </w:r>
    </w:p>
    <w:p>
      <w:pPr>
        <w:pStyle w:val="BodyText"/>
        <w:spacing w:before="9"/>
        <w:rPr>
          <w:sz w:val="21"/>
        </w:rPr>
      </w:pPr>
    </w:p>
    <w:p>
      <w:pPr>
        <w:tabs>
          <w:tab w:pos="7154" w:val="left" w:leader="none"/>
        </w:tabs>
        <w:spacing w:before="53"/>
        <w:ind w:left="112" w:right="0" w:firstLine="0"/>
        <w:jc w:val="left"/>
        <w:rPr>
          <w:sz w:val="20"/>
        </w:rPr>
      </w:pPr>
      <w:r>
        <w:rPr>
          <w:b/>
          <w:sz w:val="20"/>
        </w:rPr>
        <w:t>Suggestion d`utilisation  </w:t>
      </w:r>
      <w:r>
        <w:rPr>
          <w:position w:val="1"/>
          <w:sz w:val="20"/>
        </w:rPr>
        <w:t>Utilisation légère /</w:t>
      </w:r>
      <w:r>
        <w:rPr>
          <w:spacing w:val="-38"/>
          <w:position w:val="1"/>
          <w:sz w:val="20"/>
        </w:rPr>
        <w:t> </w:t>
      </w:r>
      <w:r>
        <w:rPr>
          <w:position w:val="1"/>
          <w:sz w:val="20"/>
        </w:rPr>
        <w:t>Accès</w:t>
      </w:r>
      <w:r>
        <w:rPr>
          <w:spacing w:val="-5"/>
          <w:position w:val="1"/>
          <w:sz w:val="20"/>
        </w:rPr>
        <w:t> </w:t>
      </w:r>
      <w:r>
        <w:rPr>
          <w:position w:val="1"/>
          <w:sz w:val="20"/>
        </w:rPr>
        <w:t>privé</w:t>
        <w:tab/>
        <w:t>Oui</w:t>
      </w:r>
    </w:p>
    <w:p>
      <w:pPr>
        <w:pStyle w:val="BodyText"/>
        <w:tabs>
          <w:tab w:pos="7154" w:val="left" w:leader="none"/>
        </w:tabs>
        <w:spacing w:before="10"/>
        <w:ind w:left="2437"/>
      </w:pPr>
      <w:r>
        <w:rPr/>
        <w:t>Utilisation moyenne /</w:t>
      </w:r>
      <w:r>
        <w:rPr>
          <w:spacing w:val="-9"/>
        </w:rPr>
        <w:t> </w:t>
      </w:r>
      <w:r>
        <w:rPr/>
        <w:t>Accès</w:t>
      </w:r>
      <w:r>
        <w:rPr>
          <w:spacing w:val="-5"/>
        </w:rPr>
        <w:t> </w:t>
      </w:r>
      <w:r>
        <w:rPr/>
        <w:t>semi-public</w:t>
        <w:tab/>
        <w:t>Oui</w:t>
      </w:r>
    </w:p>
    <w:p>
      <w:pPr>
        <w:pStyle w:val="BodyText"/>
        <w:tabs>
          <w:tab w:pos="7154" w:val="left" w:leader="none"/>
        </w:tabs>
        <w:spacing w:line="261" w:lineRule="auto" w:before="22"/>
        <w:ind w:left="2437" w:right="3358"/>
        <w:jc w:val="both"/>
      </w:pPr>
      <w:r>
        <w:rPr/>
        <w:t>Utilisation élevée /</w:t>
      </w:r>
      <w:r>
        <w:rPr>
          <w:spacing w:val="-13"/>
        </w:rPr>
        <w:t> </w:t>
      </w:r>
      <w:r>
        <w:rPr/>
        <w:t>Accès public</w:t>
        <w:tab/>
      </w:r>
      <w:r>
        <w:rPr>
          <w:spacing w:val="-8"/>
        </w:rPr>
        <w:t>Oui </w:t>
      </w:r>
      <w:r>
        <w:rPr/>
        <w:t>Intérieur du pays à plus de 20 km</w:t>
      </w:r>
      <w:r>
        <w:rPr>
          <w:spacing w:val="-22"/>
        </w:rPr>
        <w:t> </w:t>
      </w:r>
      <w:r>
        <w:rPr/>
        <w:t>des</w:t>
      </w:r>
      <w:r>
        <w:rPr>
          <w:spacing w:val="1"/>
        </w:rPr>
        <w:t> </w:t>
      </w:r>
      <w:r>
        <w:rPr/>
        <w:t>côtes</w:t>
        <w:tab/>
      </w:r>
      <w:r>
        <w:rPr>
          <w:spacing w:val="-8"/>
        </w:rPr>
        <w:t>Oui </w:t>
      </w:r>
      <w:r>
        <w:rPr/>
        <w:t>Zone côtière à moins </w:t>
      </w:r>
      <w:r>
        <w:rPr>
          <w:spacing w:val="-3"/>
        </w:rPr>
        <w:t>de </w:t>
      </w:r>
      <w:r>
        <w:rPr/>
        <w:t>20 km des</w:t>
      </w:r>
      <w:r>
        <w:rPr>
          <w:spacing w:val="-3"/>
        </w:rPr>
        <w:t> </w:t>
      </w:r>
      <w:r>
        <w:rPr/>
        <w:t>côtes</w:t>
        <w:tab/>
      </w:r>
      <w:r>
        <w:rPr>
          <w:spacing w:val="-8"/>
        </w:rPr>
        <w:t>Oui</w:t>
      </w:r>
    </w:p>
    <w:p>
      <w:pPr>
        <w:pStyle w:val="BodyText"/>
      </w:pPr>
    </w:p>
    <w:p>
      <w:pPr>
        <w:pStyle w:val="BodyText"/>
      </w:pPr>
    </w:p>
    <w:p>
      <w:pPr>
        <w:pStyle w:val="BodyText"/>
        <w:spacing w:before="4"/>
        <w:rPr>
          <w:sz w:val="18"/>
        </w:rPr>
      </w:pPr>
    </w:p>
    <w:p>
      <w:pPr>
        <w:tabs>
          <w:tab w:pos="2461" w:val="left" w:leader="none"/>
        </w:tabs>
        <w:spacing w:line="249" w:lineRule="auto" w:before="1"/>
        <w:ind w:left="2461" w:right="456" w:hanging="2349"/>
        <w:jc w:val="left"/>
        <w:rPr>
          <w:sz w:val="19"/>
        </w:rPr>
      </w:pPr>
      <w:r>
        <w:rPr>
          <w:b/>
          <w:w w:val="105"/>
          <w:position w:val="1"/>
          <w:sz w:val="20"/>
        </w:rPr>
        <w:t>Tests</w:t>
      </w:r>
      <w:r>
        <w:rPr>
          <w:b/>
          <w:spacing w:val="-25"/>
          <w:w w:val="105"/>
          <w:position w:val="1"/>
          <w:sz w:val="20"/>
        </w:rPr>
        <w:t> </w:t>
      </w:r>
      <w:r>
        <w:rPr>
          <w:b/>
          <w:w w:val="105"/>
          <w:position w:val="1"/>
          <w:sz w:val="20"/>
        </w:rPr>
        <w:t>réalisés</w:t>
        <w:tab/>
      </w:r>
      <w:r>
        <w:rPr>
          <w:w w:val="105"/>
          <w:sz w:val="19"/>
        </w:rPr>
        <w:t>Fermetures extérieures et jalousies extérieures – Exigences de performance y compris la sécurité selon DIN EN</w:t>
      </w:r>
      <w:r>
        <w:rPr>
          <w:spacing w:val="-3"/>
          <w:w w:val="105"/>
          <w:sz w:val="19"/>
        </w:rPr>
        <w:t> </w:t>
      </w:r>
      <w:r>
        <w:rPr>
          <w:w w:val="105"/>
          <w:sz w:val="19"/>
        </w:rPr>
        <w:t>13659</w:t>
      </w:r>
    </w:p>
    <w:p>
      <w:pPr>
        <w:pStyle w:val="ListParagraph"/>
        <w:numPr>
          <w:ilvl w:val="0"/>
          <w:numId w:val="1"/>
        </w:numPr>
        <w:tabs>
          <w:tab w:pos="2618" w:val="left" w:leader="none"/>
        </w:tabs>
        <w:spacing w:line="221" w:lineRule="exact" w:before="0" w:after="0"/>
        <w:ind w:left="2627" w:right="0" w:hanging="166"/>
        <w:jc w:val="left"/>
        <w:rPr>
          <w:sz w:val="19"/>
        </w:rPr>
      </w:pPr>
      <w:r>
        <w:rPr>
          <w:w w:val="105"/>
          <w:sz w:val="19"/>
        </w:rPr>
        <w:t>Durée de la fonctionnalité : catégorie 3* (catégorie la plus élevée = 20 000</w:t>
      </w:r>
      <w:r>
        <w:rPr>
          <w:spacing w:val="-14"/>
          <w:w w:val="105"/>
          <w:sz w:val="19"/>
        </w:rPr>
        <w:t> </w:t>
      </w:r>
      <w:r>
        <w:rPr>
          <w:w w:val="105"/>
          <w:sz w:val="19"/>
        </w:rPr>
        <w:t>cycles)</w:t>
      </w:r>
    </w:p>
    <w:p>
      <w:pPr>
        <w:pStyle w:val="ListParagraph"/>
        <w:numPr>
          <w:ilvl w:val="0"/>
          <w:numId w:val="1"/>
        </w:numPr>
        <w:tabs>
          <w:tab w:pos="2618" w:val="left" w:leader="none"/>
        </w:tabs>
        <w:spacing w:line="240" w:lineRule="auto" w:before="9" w:after="0"/>
        <w:ind w:left="2627" w:right="0" w:hanging="166"/>
        <w:jc w:val="left"/>
        <w:rPr>
          <w:sz w:val="19"/>
        </w:rPr>
      </w:pPr>
      <w:r>
        <w:rPr>
          <w:w w:val="105"/>
          <w:sz w:val="19"/>
        </w:rPr>
        <w:t>Résistance au vent classe 6 (classe la plus</w:t>
      </w:r>
      <w:r>
        <w:rPr>
          <w:spacing w:val="-1"/>
          <w:w w:val="105"/>
          <w:sz w:val="19"/>
        </w:rPr>
        <w:t> </w:t>
      </w:r>
      <w:r>
        <w:rPr>
          <w:w w:val="105"/>
          <w:sz w:val="19"/>
        </w:rPr>
        <w:t>élevée)</w:t>
      </w:r>
    </w:p>
    <w:p>
      <w:pPr>
        <w:pStyle w:val="ListParagraph"/>
        <w:numPr>
          <w:ilvl w:val="0"/>
          <w:numId w:val="2"/>
        </w:numPr>
        <w:tabs>
          <w:tab w:pos="2587" w:val="left" w:leader="none"/>
        </w:tabs>
        <w:spacing w:line="240" w:lineRule="auto" w:before="8" w:after="0"/>
        <w:ind w:left="2586" w:right="0" w:hanging="125"/>
        <w:jc w:val="left"/>
        <w:rPr>
          <w:sz w:val="19"/>
        </w:rPr>
      </w:pPr>
      <w:r>
        <w:rPr>
          <w:w w:val="105"/>
          <w:sz w:val="19"/>
        </w:rPr>
        <w:t>la durée de la fonctionnalité : a été testée avec 40 000</w:t>
      </w:r>
      <w:r>
        <w:rPr>
          <w:spacing w:val="-3"/>
          <w:w w:val="105"/>
          <w:sz w:val="19"/>
        </w:rPr>
        <w:t> </w:t>
      </w:r>
      <w:r>
        <w:rPr>
          <w:w w:val="105"/>
          <w:sz w:val="19"/>
        </w:rPr>
        <w:t>cycles</w:t>
      </w:r>
    </w:p>
    <w:p>
      <w:pPr>
        <w:pStyle w:val="BodyText"/>
        <w:spacing w:before="6"/>
      </w:pPr>
    </w:p>
    <w:p>
      <w:pPr>
        <w:spacing w:before="1"/>
        <w:ind w:left="2461" w:right="0" w:firstLine="0"/>
        <w:jc w:val="left"/>
        <w:rPr>
          <w:sz w:val="19"/>
        </w:rPr>
      </w:pPr>
      <w:r>
        <w:rPr>
          <w:w w:val="105"/>
          <w:sz w:val="19"/>
        </w:rPr>
        <w:t>Essai de corrosion en atmosphère artificielle – Essai au brouillard salin ISO 9227</w:t>
      </w:r>
    </w:p>
    <w:p>
      <w:pPr>
        <w:pStyle w:val="ListParagraph"/>
        <w:numPr>
          <w:ilvl w:val="0"/>
          <w:numId w:val="1"/>
        </w:numPr>
        <w:tabs>
          <w:tab w:pos="2618" w:val="left" w:leader="none"/>
        </w:tabs>
        <w:spacing w:line="240" w:lineRule="auto" w:before="9" w:after="0"/>
        <w:ind w:left="2627" w:right="0" w:hanging="166"/>
        <w:jc w:val="left"/>
        <w:rPr>
          <w:sz w:val="19"/>
        </w:rPr>
      </w:pPr>
      <w:r>
        <w:rPr>
          <w:w w:val="105"/>
          <w:sz w:val="19"/>
        </w:rPr>
        <w:t>1000 h d’essai au brouillard</w:t>
      </w:r>
      <w:r>
        <w:rPr>
          <w:spacing w:val="-6"/>
          <w:w w:val="105"/>
          <w:sz w:val="19"/>
        </w:rPr>
        <w:t> </w:t>
      </w:r>
      <w:r>
        <w:rPr>
          <w:w w:val="105"/>
          <w:sz w:val="19"/>
        </w:rPr>
        <w:t>salin</w:t>
      </w:r>
    </w:p>
    <w:p>
      <w:pPr>
        <w:pStyle w:val="BodyText"/>
      </w:pPr>
    </w:p>
    <w:p>
      <w:pPr>
        <w:pStyle w:val="BodyText"/>
        <w:tabs>
          <w:tab w:pos="2461" w:val="left" w:leader="none"/>
        </w:tabs>
        <w:spacing w:line="244" w:lineRule="auto" w:before="124"/>
        <w:ind w:left="2461" w:right="99" w:hanging="2349"/>
      </w:pPr>
      <w:r>
        <w:rPr>
          <w:b/>
          <w:position w:val="1"/>
        </w:rPr>
        <w:t>Garantie</w:t>
        <w:tab/>
      </w:r>
      <w:r>
        <w:rPr/>
        <w:t>Hawa</w:t>
      </w:r>
      <w:r>
        <w:rPr>
          <w:spacing w:val="-4"/>
        </w:rPr>
        <w:t> </w:t>
      </w:r>
      <w:r>
        <w:rPr/>
        <w:t>garantit</w:t>
      </w:r>
      <w:r>
        <w:rPr>
          <w:spacing w:val="-5"/>
        </w:rPr>
        <w:t> </w:t>
      </w:r>
      <w:r>
        <w:rPr/>
        <w:t>le</w:t>
      </w:r>
      <w:r>
        <w:rPr>
          <w:spacing w:val="-3"/>
        </w:rPr>
        <w:t> </w:t>
      </w:r>
      <w:r>
        <w:rPr/>
        <w:t>bon</w:t>
      </w:r>
      <w:r>
        <w:rPr>
          <w:spacing w:val="-5"/>
        </w:rPr>
        <w:t> </w:t>
      </w:r>
      <w:r>
        <w:rPr/>
        <w:t>fonctionnement</w:t>
      </w:r>
      <w:r>
        <w:rPr>
          <w:spacing w:val="-5"/>
        </w:rPr>
        <w:t> </w:t>
      </w:r>
      <w:r>
        <w:rPr/>
        <w:t>des</w:t>
      </w:r>
      <w:r>
        <w:rPr>
          <w:spacing w:val="-3"/>
        </w:rPr>
        <w:t> </w:t>
      </w:r>
      <w:r>
        <w:rPr/>
        <w:t>produits</w:t>
      </w:r>
      <w:r>
        <w:rPr>
          <w:spacing w:val="-4"/>
        </w:rPr>
        <w:t> </w:t>
      </w:r>
      <w:r>
        <w:rPr/>
        <w:t>livrés</w:t>
      </w:r>
      <w:r>
        <w:rPr>
          <w:spacing w:val="-4"/>
        </w:rPr>
        <w:t> </w:t>
      </w:r>
      <w:r>
        <w:rPr/>
        <w:t>par</w:t>
      </w:r>
      <w:r>
        <w:rPr>
          <w:spacing w:val="-3"/>
        </w:rPr>
        <w:t> </w:t>
      </w:r>
      <w:r>
        <w:rPr/>
        <w:t>ses</w:t>
      </w:r>
      <w:r>
        <w:rPr>
          <w:spacing w:val="-4"/>
        </w:rPr>
        <w:t> </w:t>
      </w:r>
      <w:r>
        <w:rPr/>
        <w:t>soins</w:t>
      </w:r>
      <w:r>
        <w:rPr>
          <w:spacing w:val="-4"/>
        </w:rPr>
        <w:t> </w:t>
      </w:r>
      <w:r>
        <w:rPr/>
        <w:t>et</w:t>
      </w:r>
      <w:r>
        <w:rPr>
          <w:spacing w:val="-4"/>
        </w:rPr>
        <w:t> </w:t>
      </w:r>
      <w:r>
        <w:rPr/>
        <w:t>la</w:t>
      </w:r>
      <w:r>
        <w:rPr>
          <w:spacing w:val="-4"/>
        </w:rPr>
        <w:t> </w:t>
      </w:r>
      <w:r>
        <w:rPr/>
        <w:t>durabilité</w:t>
      </w:r>
      <w:r>
        <w:rPr>
          <w:spacing w:val="-4"/>
        </w:rPr>
        <w:t> </w:t>
      </w:r>
      <w:r>
        <w:rPr/>
        <w:t>de</w:t>
      </w:r>
      <w:r>
        <w:rPr>
          <w:spacing w:val="-3"/>
        </w:rPr>
        <w:t> </w:t>
      </w:r>
      <w:r>
        <w:rPr/>
        <w:t>tous les composants, à l’exception des pièces d’usure, pour une période de 2 ans à compter du transfert du</w:t>
      </w:r>
      <w:r>
        <w:rPr>
          <w:spacing w:val="-3"/>
        </w:rPr>
        <w:t> </w:t>
      </w:r>
      <w:r>
        <w:rPr/>
        <w:t>risque.</w:t>
      </w:r>
    </w:p>
    <w:p>
      <w:pPr>
        <w:spacing w:after="0" w:line="244" w:lineRule="auto"/>
        <w:sectPr>
          <w:headerReference w:type="default" r:id="rId5"/>
          <w:footerReference w:type="default" r:id="rId6"/>
          <w:type w:val="continuous"/>
          <w:pgSz w:w="11900" w:h="16840"/>
          <w:pgMar w:header="403" w:footer="1162" w:top="1700" w:bottom="1360" w:left="460" w:right="620"/>
          <w:pgNumType w:start="1"/>
        </w:sectPr>
      </w:pPr>
    </w:p>
    <w:p>
      <w:pPr>
        <w:pStyle w:val="BodyText"/>
        <w:spacing w:before="10"/>
        <w:rPr>
          <w:sz w:val="15"/>
        </w:rPr>
      </w:pPr>
    </w:p>
    <w:p>
      <w:pPr>
        <w:pStyle w:val="BodyText"/>
        <w:tabs>
          <w:tab w:pos="2459" w:val="left" w:leader="none"/>
        </w:tabs>
        <w:spacing w:before="86"/>
        <w:ind w:left="2459" w:right="155" w:hanging="2347"/>
      </w:pPr>
      <w:r>
        <w:rPr>
          <w:b/>
          <w:position w:val="1"/>
        </w:rPr>
        <w:t>Version</w:t>
      </w:r>
      <w:r>
        <w:rPr>
          <w:b/>
          <w:spacing w:val="-3"/>
          <w:position w:val="1"/>
        </w:rPr>
        <w:t> </w:t>
      </w:r>
      <w:r>
        <w:rPr>
          <w:b/>
          <w:position w:val="1"/>
        </w:rPr>
        <w:t>du</w:t>
      </w:r>
      <w:r>
        <w:rPr>
          <w:b/>
          <w:spacing w:val="-3"/>
          <w:position w:val="1"/>
        </w:rPr>
        <w:t> </w:t>
      </w:r>
      <w:r>
        <w:rPr>
          <w:b/>
          <w:position w:val="1"/>
        </w:rPr>
        <w:t>produit</w:t>
        <w:tab/>
      </w:r>
      <w:r>
        <w:rPr/>
        <w:t>Hawa</w:t>
      </w:r>
      <w:r>
        <w:rPr>
          <w:spacing w:val="-3"/>
        </w:rPr>
        <w:t> </w:t>
      </w:r>
      <w:r>
        <w:rPr/>
        <w:t>Frontfold</w:t>
      </w:r>
      <w:r>
        <w:rPr>
          <w:spacing w:val="-3"/>
        </w:rPr>
        <w:t> </w:t>
      </w:r>
      <w:r>
        <w:rPr/>
        <w:t>30</w:t>
      </w:r>
      <w:r>
        <w:rPr>
          <w:spacing w:val="-3"/>
        </w:rPr>
        <w:t> </w:t>
      </w:r>
      <w:r>
        <w:rPr/>
        <w:t>MS</w:t>
      </w:r>
      <w:r>
        <w:rPr>
          <w:spacing w:val="-3"/>
        </w:rPr>
        <w:t> </w:t>
      </w:r>
      <w:r>
        <w:rPr/>
        <w:t>uo</w:t>
      </w:r>
      <w:r>
        <w:rPr>
          <w:spacing w:val="-4"/>
        </w:rPr>
        <w:t> </w:t>
      </w:r>
      <w:r>
        <w:rPr/>
        <w:t>composé</w:t>
      </w:r>
      <w:r>
        <w:rPr>
          <w:spacing w:val="-3"/>
        </w:rPr>
        <w:t> </w:t>
      </w:r>
      <w:r>
        <w:rPr/>
        <w:t>d'un</w:t>
      </w:r>
      <w:r>
        <w:rPr>
          <w:spacing w:val="-3"/>
        </w:rPr>
        <w:t> </w:t>
      </w:r>
      <w:r>
        <w:rPr/>
        <w:t>rail</w:t>
      </w:r>
      <w:r>
        <w:rPr>
          <w:spacing w:val="-3"/>
        </w:rPr>
        <w:t> </w:t>
      </w:r>
      <w:r>
        <w:rPr/>
        <w:t>de</w:t>
      </w:r>
      <w:r>
        <w:rPr>
          <w:spacing w:val="-3"/>
        </w:rPr>
        <w:t> </w:t>
      </w:r>
      <w:r>
        <w:rPr/>
        <w:t>roulement</w:t>
      </w:r>
      <w:r>
        <w:rPr>
          <w:spacing w:val="-3"/>
        </w:rPr>
        <w:t> </w:t>
      </w:r>
      <w:r>
        <w:rPr/>
        <w:t>(aluminium</w:t>
      </w:r>
      <w:r>
        <w:rPr>
          <w:spacing w:val="-3"/>
        </w:rPr>
        <w:t> </w:t>
      </w:r>
      <w:r>
        <w:rPr/>
        <w:t>anodisé,</w:t>
      </w:r>
      <w:r>
        <w:rPr>
          <w:spacing w:val="-3"/>
        </w:rPr>
        <w:t> </w:t>
      </w:r>
      <w:r>
        <w:rPr/>
        <w:t>minx.</w:t>
      </w:r>
      <w:r>
        <w:rPr>
          <w:spacing w:val="-3"/>
        </w:rPr>
        <w:t> </w:t>
      </w:r>
      <w:r>
        <w:rPr/>
        <w:t>20</w:t>
      </w:r>
      <w:r>
        <w:rPr>
          <w:spacing w:val="-4"/>
        </w:rPr>
        <w:t> </w:t>
      </w:r>
      <w:r>
        <w:rPr/>
        <w:t>μm, épaisseur de la paroi en aluminium 2,8 mm), suspension (EN AW 6060 T66 /6063 T66, épaisseur de couche anodisée min. 20 μm, vis et boulons en acier inoxydable A4), guidage (EN AW 6060 T66 /6063 T66, épaisseur de couche anodisée min. 20 μm, vis et boulons en acier inoxydable A4), paumelle plate (acier inoxydable A4), rail de guidage ouvert par le dessous (aluminium anodisé, min. 20</w:t>
      </w:r>
      <w:r>
        <w:rPr>
          <w:spacing w:val="-6"/>
        </w:rPr>
        <w:t> </w:t>
      </w:r>
      <w:r>
        <w:rPr/>
        <w:t>μm).</w:t>
      </w:r>
    </w:p>
    <w:p>
      <w:pPr>
        <w:pStyle w:val="BodyText"/>
        <w:spacing w:before="6"/>
      </w:pPr>
    </w:p>
    <w:p>
      <w:pPr>
        <w:pStyle w:val="BodyText"/>
        <w:spacing w:line="233" w:lineRule="exact"/>
        <w:ind w:left="2459"/>
      </w:pPr>
      <w:r>
        <w:rPr/>
        <w:t>En option :</w:t>
      </w:r>
    </w:p>
    <w:p>
      <w:pPr>
        <w:pStyle w:val="BodyText"/>
        <w:tabs>
          <w:tab w:pos="2732" w:val="left" w:leader="dot"/>
        </w:tabs>
        <w:ind w:left="2461"/>
      </w:pPr>
      <w:r>
        <w:rPr/>
        <w:t>(</w:t>
        <w:tab/>
        <w:t>) Loqueteau à ressort, ouverture vers l’extérieur ou l'intérieur, aluminium</w:t>
      </w:r>
      <w:r>
        <w:rPr>
          <w:spacing w:val="-24"/>
        </w:rPr>
        <w:t> </w:t>
      </w:r>
      <w:r>
        <w:rPr/>
        <w:t>anodisé.</w:t>
      </w:r>
    </w:p>
    <w:p>
      <w:pPr>
        <w:pStyle w:val="BodyText"/>
        <w:spacing w:before="1"/>
        <w:rPr>
          <w:sz w:val="23"/>
        </w:rPr>
      </w:pPr>
    </w:p>
    <w:p>
      <w:pPr>
        <w:pStyle w:val="Heading1"/>
        <w:tabs>
          <w:tab w:pos="2461" w:val="left" w:leader="none"/>
        </w:tabs>
        <w:spacing w:line="261" w:lineRule="exact"/>
        <w:ind w:left="112"/>
        <w:rPr>
          <w:b w:val="0"/>
        </w:rPr>
      </w:pPr>
      <w:r>
        <w:rPr>
          <w:rFonts w:ascii="Arial"/>
          <w:position w:val="3"/>
        </w:rPr>
        <w:t>Interfaces</w:t>
        <w:tab/>
      </w:r>
      <w:r>
        <w:rPr/>
        <w:t>Volet</w:t>
      </w:r>
      <w:r>
        <w:rPr>
          <w:spacing w:val="-2"/>
        </w:rPr>
        <w:t> </w:t>
      </w:r>
      <w:r>
        <w:rPr/>
        <w:t>pliant</w:t>
      </w:r>
      <w:r>
        <w:rPr>
          <w:b w:val="0"/>
        </w:rPr>
        <w:t>*</w:t>
      </w:r>
    </w:p>
    <w:p>
      <w:pPr>
        <w:pStyle w:val="ListParagraph"/>
        <w:numPr>
          <w:ilvl w:val="0"/>
          <w:numId w:val="1"/>
        </w:numPr>
        <w:tabs>
          <w:tab w:pos="2618" w:val="left" w:leader="none"/>
        </w:tabs>
        <w:spacing w:line="233" w:lineRule="exact" w:before="0" w:after="0"/>
        <w:ind w:left="2627" w:right="0" w:hanging="166"/>
        <w:jc w:val="left"/>
        <w:rPr>
          <w:sz w:val="20"/>
        </w:rPr>
      </w:pPr>
      <w:r>
        <w:rPr>
          <w:sz w:val="20"/>
        </w:rPr>
        <w:t>Volet en bois, métal ou métal léger, max. 30</w:t>
      </w:r>
      <w:r>
        <w:rPr>
          <w:spacing w:val="-13"/>
          <w:sz w:val="20"/>
        </w:rPr>
        <w:t> </w:t>
      </w:r>
      <w:r>
        <w:rPr>
          <w:sz w:val="20"/>
        </w:rPr>
        <w:t>kg</w:t>
      </w:r>
    </w:p>
    <w:p>
      <w:pPr>
        <w:pStyle w:val="ListParagraph"/>
        <w:numPr>
          <w:ilvl w:val="0"/>
          <w:numId w:val="1"/>
        </w:numPr>
        <w:tabs>
          <w:tab w:pos="2618" w:val="left" w:leader="none"/>
        </w:tabs>
        <w:spacing w:line="240" w:lineRule="auto" w:before="0" w:after="0"/>
        <w:ind w:left="2627" w:right="0" w:hanging="166"/>
        <w:jc w:val="left"/>
        <w:rPr>
          <w:sz w:val="20"/>
        </w:rPr>
      </w:pPr>
      <w:r>
        <w:rPr>
          <w:sz w:val="20"/>
        </w:rPr>
        <w:t>Épaisseur du volet 28 – 36</w:t>
      </w:r>
      <w:r>
        <w:rPr>
          <w:spacing w:val="-17"/>
          <w:sz w:val="20"/>
        </w:rPr>
        <w:t> </w:t>
      </w:r>
      <w:r>
        <w:rPr>
          <w:sz w:val="20"/>
        </w:rPr>
        <w:t>mm</w:t>
      </w:r>
    </w:p>
    <w:p>
      <w:pPr>
        <w:pStyle w:val="ListParagraph"/>
        <w:numPr>
          <w:ilvl w:val="0"/>
          <w:numId w:val="1"/>
        </w:numPr>
        <w:tabs>
          <w:tab w:pos="2618" w:val="left" w:leader="none"/>
        </w:tabs>
        <w:spacing w:line="240" w:lineRule="auto" w:before="0" w:after="0"/>
        <w:ind w:left="2627" w:right="0" w:hanging="166"/>
        <w:jc w:val="left"/>
        <w:rPr>
          <w:sz w:val="20"/>
        </w:rPr>
      </w:pPr>
      <w:r>
        <w:rPr>
          <w:sz w:val="20"/>
        </w:rPr>
        <w:t>Largeur max. du volet 600</w:t>
      </w:r>
      <w:r>
        <w:rPr>
          <w:spacing w:val="-16"/>
          <w:sz w:val="20"/>
        </w:rPr>
        <w:t> </w:t>
      </w:r>
      <w:r>
        <w:rPr>
          <w:sz w:val="20"/>
        </w:rPr>
        <w:t>mm</w:t>
      </w:r>
    </w:p>
    <w:p>
      <w:pPr>
        <w:pStyle w:val="ListParagraph"/>
        <w:numPr>
          <w:ilvl w:val="0"/>
          <w:numId w:val="1"/>
        </w:numPr>
        <w:tabs>
          <w:tab w:pos="2618" w:val="left" w:leader="none"/>
        </w:tabs>
        <w:spacing w:line="240" w:lineRule="auto" w:before="1" w:after="0"/>
        <w:ind w:left="2627" w:right="0" w:hanging="166"/>
        <w:jc w:val="left"/>
        <w:rPr>
          <w:sz w:val="20"/>
        </w:rPr>
      </w:pPr>
      <w:r>
        <w:rPr>
          <w:sz w:val="20"/>
        </w:rPr>
        <w:t>Hauteur max. du volet 3200</w:t>
      </w:r>
      <w:r>
        <w:rPr>
          <w:spacing w:val="-5"/>
          <w:sz w:val="20"/>
        </w:rPr>
        <w:t> </w:t>
      </w:r>
      <w:r>
        <w:rPr>
          <w:sz w:val="20"/>
        </w:rPr>
        <w:t>mm</w:t>
      </w:r>
    </w:p>
    <w:p>
      <w:pPr>
        <w:pStyle w:val="ListParagraph"/>
        <w:numPr>
          <w:ilvl w:val="0"/>
          <w:numId w:val="1"/>
        </w:numPr>
        <w:tabs>
          <w:tab w:pos="2618" w:val="left" w:leader="none"/>
        </w:tabs>
        <w:spacing w:line="240" w:lineRule="auto" w:before="0" w:after="0"/>
        <w:ind w:left="2627" w:right="0" w:hanging="166"/>
        <w:jc w:val="left"/>
        <w:rPr>
          <w:sz w:val="20"/>
        </w:rPr>
      </w:pPr>
      <w:r>
        <w:rPr>
          <w:sz w:val="20"/>
        </w:rPr>
        <w:t>Ferrures à visser en applique ou à</w:t>
      </w:r>
      <w:r>
        <w:rPr>
          <w:spacing w:val="-4"/>
          <w:sz w:val="20"/>
        </w:rPr>
        <w:t> </w:t>
      </w:r>
      <w:r>
        <w:rPr>
          <w:sz w:val="20"/>
        </w:rPr>
        <w:t>riveter</w:t>
      </w:r>
    </w:p>
    <w:p>
      <w:pPr>
        <w:pStyle w:val="ListParagraph"/>
        <w:numPr>
          <w:ilvl w:val="0"/>
          <w:numId w:val="2"/>
        </w:numPr>
        <w:tabs>
          <w:tab w:pos="2587" w:val="left" w:leader="none"/>
        </w:tabs>
        <w:spacing w:line="240" w:lineRule="auto" w:before="0" w:after="0"/>
        <w:ind w:left="2586" w:right="0" w:hanging="125"/>
        <w:jc w:val="left"/>
        <w:rPr>
          <w:sz w:val="20"/>
        </w:rPr>
      </w:pPr>
      <w:r>
        <w:rPr>
          <w:sz w:val="20"/>
        </w:rPr>
        <w:t>La classe de résistance au vent des volets est de la responsabilité du</w:t>
      </w:r>
      <w:r>
        <w:rPr>
          <w:spacing w:val="-16"/>
          <w:sz w:val="20"/>
        </w:rPr>
        <w:t> </w:t>
      </w:r>
      <w:r>
        <w:rPr>
          <w:sz w:val="20"/>
        </w:rPr>
        <w:t>fabricant</w:t>
      </w:r>
    </w:p>
    <w:p>
      <w:pPr>
        <w:pStyle w:val="BodyText"/>
      </w:pPr>
    </w:p>
    <w:p>
      <w:pPr>
        <w:pStyle w:val="Heading1"/>
        <w:spacing w:before="1"/>
      </w:pPr>
      <w:r>
        <w:rPr/>
        <w:t>Montage des rails</w:t>
      </w:r>
    </w:p>
    <w:p>
      <w:pPr>
        <w:pStyle w:val="ListParagraph"/>
        <w:numPr>
          <w:ilvl w:val="0"/>
          <w:numId w:val="1"/>
        </w:numPr>
        <w:tabs>
          <w:tab w:pos="2618" w:val="left" w:leader="none"/>
        </w:tabs>
        <w:spacing w:line="233" w:lineRule="exact" w:before="0" w:after="0"/>
        <w:ind w:left="2627" w:right="0" w:hanging="166"/>
        <w:jc w:val="left"/>
        <w:rPr>
          <w:sz w:val="20"/>
        </w:rPr>
      </w:pPr>
      <w:r>
        <w:rPr>
          <w:sz w:val="20"/>
        </w:rPr>
        <w:t>Montage</w:t>
      </w:r>
      <w:r>
        <w:rPr>
          <w:spacing w:val="-1"/>
          <w:sz w:val="20"/>
        </w:rPr>
        <w:t> </w:t>
      </w:r>
      <w:r>
        <w:rPr>
          <w:sz w:val="20"/>
        </w:rPr>
        <w:t>mural</w:t>
      </w:r>
    </w:p>
    <w:p>
      <w:pPr>
        <w:pStyle w:val="ListParagraph"/>
        <w:numPr>
          <w:ilvl w:val="0"/>
          <w:numId w:val="1"/>
        </w:numPr>
        <w:tabs>
          <w:tab w:pos="2618" w:val="left" w:leader="none"/>
        </w:tabs>
        <w:spacing w:line="240" w:lineRule="auto" w:before="0" w:after="0"/>
        <w:ind w:left="2627" w:right="0" w:hanging="166"/>
        <w:jc w:val="left"/>
        <w:rPr>
          <w:sz w:val="20"/>
        </w:rPr>
      </w:pPr>
      <w:r>
        <w:rPr>
          <w:sz w:val="20"/>
        </w:rPr>
        <w:t>Montage au</w:t>
      </w:r>
      <w:r>
        <w:rPr>
          <w:spacing w:val="-2"/>
          <w:sz w:val="20"/>
        </w:rPr>
        <w:t> </w:t>
      </w:r>
      <w:r>
        <w:rPr>
          <w:sz w:val="20"/>
        </w:rPr>
        <w:t>plafond</w:t>
      </w:r>
    </w:p>
    <w:p>
      <w:pPr>
        <w:pStyle w:val="BodyText"/>
      </w:pPr>
    </w:p>
    <w:p>
      <w:pPr>
        <w:pStyle w:val="Heading1"/>
      </w:pPr>
      <w:r>
        <w:rPr/>
        <w:t>Montage du guidage</w:t>
      </w:r>
    </w:p>
    <w:p>
      <w:pPr>
        <w:pStyle w:val="ListParagraph"/>
        <w:numPr>
          <w:ilvl w:val="0"/>
          <w:numId w:val="1"/>
        </w:numPr>
        <w:tabs>
          <w:tab w:pos="2618" w:val="left" w:leader="none"/>
        </w:tabs>
        <w:spacing w:line="233" w:lineRule="exact" w:before="0" w:after="0"/>
        <w:ind w:left="2627" w:right="0" w:hanging="166"/>
        <w:jc w:val="left"/>
        <w:rPr>
          <w:sz w:val="20"/>
        </w:rPr>
      </w:pPr>
      <w:r>
        <w:rPr>
          <w:sz w:val="20"/>
        </w:rPr>
        <w:t>Montage</w:t>
      </w:r>
      <w:r>
        <w:rPr>
          <w:spacing w:val="-8"/>
          <w:sz w:val="20"/>
        </w:rPr>
        <w:t> </w:t>
      </w:r>
      <w:r>
        <w:rPr>
          <w:sz w:val="20"/>
        </w:rPr>
        <w:t>mural</w:t>
      </w:r>
    </w:p>
    <w:p>
      <w:pPr>
        <w:pStyle w:val="ListParagraph"/>
        <w:numPr>
          <w:ilvl w:val="0"/>
          <w:numId w:val="1"/>
        </w:numPr>
        <w:tabs>
          <w:tab w:pos="2618" w:val="left" w:leader="none"/>
        </w:tabs>
        <w:spacing w:line="240" w:lineRule="auto" w:before="1" w:after="0"/>
        <w:ind w:left="2627" w:right="0" w:hanging="166"/>
        <w:jc w:val="left"/>
        <w:rPr>
          <w:sz w:val="20"/>
        </w:rPr>
      </w:pPr>
      <w:r>
        <w:rPr>
          <w:sz w:val="20"/>
        </w:rPr>
        <w:t>Montage au</w:t>
      </w:r>
      <w:r>
        <w:rPr>
          <w:spacing w:val="-7"/>
          <w:sz w:val="20"/>
        </w:rPr>
        <w:t> </w:t>
      </w:r>
      <w:r>
        <w:rPr>
          <w:sz w:val="20"/>
        </w:rPr>
        <w:t>sol</w:t>
      </w:r>
    </w:p>
    <w:p>
      <w:pPr>
        <w:pStyle w:val="BodyText"/>
      </w:pPr>
    </w:p>
    <w:p>
      <w:pPr>
        <w:pStyle w:val="Heading1"/>
      </w:pPr>
      <w:r>
        <w:rPr/>
        <w:t>Fixation de sécurité du volet coulissant ouvert</w:t>
      </w:r>
    </w:p>
    <w:p>
      <w:pPr>
        <w:pStyle w:val="ListParagraph"/>
        <w:numPr>
          <w:ilvl w:val="0"/>
          <w:numId w:val="1"/>
        </w:numPr>
        <w:tabs>
          <w:tab w:pos="2618" w:val="left" w:leader="none"/>
        </w:tabs>
        <w:spacing w:line="240" w:lineRule="auto" w:before="0" w:after="0"/>
        <w:ind w:left="2627" w:right="608" w:hanging="166"/>
        <w:jc w:val="left"/>
        <w:rPr>
          <w:sz w:val="20"/>
        </w:rPr>
      </w:pPr>
      <w:r>
        <w:rPr>
          <w:sz w:val="20"/>
        </w:rPr>
        <w:t>En</w:t>
      </w:r>
      <w:r>
        <w:rPr>
          <w:spacing w:val="-3"/>
          <w:sz w:val="20"/>
        </w:rPr>
        <w:t> </w:t>
      </w:r>
      <w:r>
        <w:rPr>
          <w:sz w:val="20"/>
        </w:rPr>
        <w:t>cas</w:t>
      </w:r>
      <w:r>
        <w:rPr>
          <w:spacing w:val="-3"/>
          <w:sz w:val="20"/>
        </w:rPr>
        <w:t> </w:t>
      </w:r>
      <w:r>
        <w:rPr>
          <w:sz w:val="20"/>
        </w:rPr>
        <w:t>de</w:t>
      </w:r>
      <w:r>
        <w:rPr>
          <w:spacing w:val="-4"/>
          <w:sz w:val="20"/>
        </w:rPr>
        <w:t> </w:t>
      </w:r>
      <w:r>
        <w:rPr>
          <w:sz w:val="20"/>
        </w:rPr>
        <w:t>nombre</w:t>
      </w:r>
      <w:r>
        <w:rPr>
          <w:spacing w:val="-3"/>
          <w:sz w:val="20"/>
        </w:rPr>
        <w:t> </w:t>
      </w:r>
      <w:r>
        <w:rPr>
          <w:sz w:val="20"/>
        </w:rPr>
        <w:t>impair</w:t>
      </w:r>
      <w:r>
        <w:rPr>
          <w:spacing w:val="-3"/>
          <w:sz w:val="20"/>
        </w:rPr>
        <w:t> </w:t>
      </w:r>
      <w:r>
        <w:rPr>
          <w:sz w:val="20"/>
        </w:rPr>
        <w:t>de</w:t>
      </w:r>
      <w:r>
        <w:rPr>
          <w:spacing w:val="-3"/>
          <w:sz w:val="20"/>
        </w:rPr>
        <w:t> </w:t>
      </w:r>
      <w:r>
        <w:rPr>
          <w:sz w:val="20"/>
        </w:rPr>
        <w:t>volets</w:t>
      </w:r>
      <w:r>
        <w:rPr>
          <w:spacing w:val="-3"/>
          <w:sz w:val="20"/>
        </w:rPr>
        <w:t> </w:t>
      </w:r>
      <w:r>
        <w:rPr>
          <w:sz w:val="20"/>
        </w:rPr>
        <w:t>coulissants,</w:t>
      </w:r>
      <w:r>
        <w:rPr>
          <w:spacing w:val="-3"/>
          <w:sz w:val="20"/>
        </w:rPr>
        <w:t> </w:t>
      </w:r>
      <w:r>
        <w:rPr>
          <w:sz w:val="20"/>
        </w:rPr>
        <w:t>la</w:t>
      </w:r>
      <w:r>
        <w:rPr>
          <w:spacing w:val="-3"/>
          <w:sz w:val="20"/>
        </w:rPr>
        <w:t> </w:t>
      </w:r>
      <w:r>
        <w:rPr>
          <w:sz w:val="20"/>
        </w:rPr>
        <w:t>fixation</w:t>
      </w:r>
      <w:r>
        <w:rPr>
          <w:spacing w:val="-3"/>
          <w:sz w:val="20"/>
        </w:rPr>
        <w:t> </w:t>
      </w:r>
      <w:r>
        <w:rPr>
          <w:sz w:val="20"/>
        </w:rPr>
        <w:t>de</w:t>
      </w:r>
      <w:r>
        <w:rPr>
          <w:spacing w:val="-3"/>
          <w:sz w:val="20"/>
        </w:rPr>
        <w:t> </w:t>
      </w:r>
      <w:r>
        <w:rPr>
          <w:sz w:val="20"/>
        </w:rPr>
        <w:t>sécurité</w:t>
      </w:r>
      <w:r>
        <w:rPr>
          <w:spacing w:val="-3"/>
          <w:sz w:val="20"/>
        </w:rPr>
        <w:t> </w:t>
      </w:r>
      <w:r>
        <w:rPr>
          <w:sz w:val="20"/>
        </w:rPr>
        <w:t>du</w:t>
      </w:r>
      <w:r>
        <w:rPr>
          <w:spacing w:val="-3"/>
          <w:sz w:val="20"/>
        </w:rPr>
        <w:t> </w:t>
      </w:r>
      <w:r>
        <w:rPr>
          <w:sz w:val="20"/>
        </w:rPr>
        <w:t>dernier</w:t>
      </w:r>
      <w:r>
        <w:rPr>
          <w:spacing w:val="-3"/>
          <w:sz w:val="20"/>
        </w:rPr>
        <w:t> </w:t>
      </w:r>
      <w:r>
        <w:rPr>
          <w:sz w:val="20"/>
        </w:rPr>
        <w:t>volet ouvert doit être réalisée sur</w:t>
      </w:r>
      <w:r>
        <w:rPr>
          <w:spacing w:val="-6"/>
          <w:sz w:val="20"/>
        </w:rPr>
        <w:t> </w:t>
      </w:r>
      <w:r>
        <w:rPr>
          <w:sz w:val="20"/>
        </w:rPr>
        <w:t>place</w:t>
      </w:r>
    </w:p>
    <w:p>
      <w:pPr>
        <w:pStyle w:val="BodyText"/>
        <w:spacing w:before="1"/>
      </w:pPr>
    </w:p>
    <w:p>
      <w:pPr>
        <w:pStyle w:val="Heading1"/>
      </w:pPr>
      <w:r>
        <w:rPr/>
        <w:t>Montage</w:t>
      </w:r>
    </w:p>
    <w:p>
      <w:pPr>
        <w:pStyle w:val="ListParagraph"/>
        <w:numPr>
          <w:ilvl w:val="0"/>
          <w:numId w:val="1"/>
        </w:numPr>
        <w:tabs>
          <w:tab w:pos="2618" w:val="left" w:leader="none"/>
        </w:tabs>
        <w:spacing w:line="233" w:lineRule="exact" w:before="0" w:after="0"/>
        <w:ind w:left="2617" w:right="0" w:hanging="156"/>
        <w:jc w:val="left"/>
        <w:rPr>
          <w:sz w:val="20"/>
        </w:rPr>
      </w:pPr>
      <w:r>
        <w:rPr>
          <w:sz w:val="20"/>
        </w:rPr>
        <w:t>Vis de</w:t>
      </w:r>
      <w:r>
        <w:rPr>
          <w:spacing w:val="-1"/>
          <w:sz w:val="20"/>
        </w:rPr>
        <w:t> </w:t>
      </w:r>
      <w:r>
        <w:rPr>
          <w:sz w:val="20"/>
        </w:rPr>
        <w:t>montage</w:t>
      </w:r>
    </w:p>
    <w:p>
      <w:pPr>
        <w:pStyle w:val="ListParagraph"/>
        <w:numPr>
          <w:ilvl w:val="0"/>
          <w:numId w:val="1"/>
        </w:numPr>
        <w:tabs>
          <w:tab w:pos="2618" w:val="left" w:leader="none"/>
        </w:tabs>
        <w:spacing w:line="240" w:lineRule="auto" w:before="0" w:after="0"/>
        <w:ind w:left="2617" w:right="0" w:hanging="156"/>
        <w:jc w:val="left"/>
        <w:rPr>
          <w:sz w:val="20"/>
        </w:rPr>
      </w:pPr>
      <w:r>
        <w:rPr>
          <w:sz w:val="20"/>
        </w:rPr>
        <w:t>Rivets de</w:t>
      </w:r>
      <w:r>
        <w:rPr>
          <w:spacing w:val="-1"/>
          <w:sz w:val="20"/>
        </w:rPr>
        <w:t> </w:t>
      </w:r>
      <w:r>
        <w:rPr>
          <w:sz w:val="20"/>
        </w:rPr>
        <w:t>montage</w:t>
      </w:r>
    </w:p>
    <w:p>
      <w:pPr>
        <w:pStyle w:val="BodyText"/>
      </w:pPr>
    </w:p>
    <w:p>
      <w:pPr>
        <w:pStyle w:val="BodyText"/>
        <w:ind w:left="2461" w:right="99"/>
      </w:pPr>
      <w:r>
        <w:rPr/>
        <w:t>Hawa Sliding Solutions AG recommande généralement l’utilisation de vis et rivets de montage en acier inoxydable. D’une qualité A2 au minimum, pour une utilisation dans les zones côtières A4.</w:t>
      </w:r>
    </w:p>
    <w:sectPr>
      <w:pgSz w:w="11900" w:h="16840"/>
      <w:pgMar w:header="403" w:footer="1162" w:top="1700" w:bottom="1360" w:left="46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NeueLT Std">
    <w:altName w:val="HelveticaNeueLT Std"/>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351pt;margin-top:772.878052pt;width:255.9pt;height:36.5pt;mso-position-horizontal-relative:page;mso-position-vertical-relative:page;z-index:-5824" type="#_x0000_t202" filled="false" stroked="false">
          <v:textbox inset="0,0,0,0">
            <w:txbxContent>
              <w:p>
                <w:pPr>
                  <w:spacing w:line="235" w:lineRule="exact" w:before="18"/>
                  <w:ind w:left="20" w:right="0" w:firstLine="0"/>
                  <w:jc w:val="left"/>
                  <w:rPr>
                    <w:b/>
                    <w:sz w:val="20"/>
                  </w:rPr>
                </w:pPr>
                <w:r>
                  <w:rPr>
                    <w:b/>
                    <w:sz w:val="20"/>
                  </w:rPr>
                  <w:t>Hawa Sliding Solutions AG</w:t>
                </w:r>
              </w:p>
              <w:p>
                <w:pPr>
                  <w:pStyle w:val="BodyText"/>
                  <w:spacing w:line="226" w:lineRule="exact"/>
                  <w:ind w:left="20"/>
                </w:pPr>
                <w:r>
                  <w:rPr/>
                  <w:t>Untere Fischbachstrasse 4, 8932 Mettmenstetten,</w:t>
                </w:r>
                <w:r>
                  <w:rPr>
                    <w:spacing w:val="-40"/>
                  </w:rPr>
                  <w:t> </w:t>
                </w:r>
                <w:r>
                  <w:rPr/>
                  <w:t>Suisse</w:t>
                </w:r>
              </w:p>
              <w:p>
                <w:pPr>
                  <w:pStyle w:val="BodyText"/>
                  <w:spacing w:line="230" w:lineRule="exact"/>
                  <w:ind w:left="20"/>
                </w:pPr>
                <w:r>
                  <w:rPr/>
                  <w:t>Tél. +41 44 787 17 17, </w:t>
                </w:r>
                <w:hyperlink r:id="rId1">
                  <w:r>
                    <w:rPr/>
                    <w:t>info@hawa.com, </w:t>
                  </w:r>
                </w:hyperlink>
                <w:hyperlink r:id="rId2">
                  <w:r>
                    <w:rPr/>
                    <w:t>www.hawa.com</w:t>
                  </w:r>
                </w:hyperlink>
              </w:p>
            </w:txbxContent>
          </v:textbox>
          <w10:wrap type="none"/>
        </v:shape>
      </w:pict>
    </w:r>
    <w:r>
      <w:rPr/>
      <w:pict>
        <v:shape style="position:absolute;margin-left:556.79187pt;margin-top:797.295959pt;width:9.550pt;height:11.95pt;mso-position-horizontal-relative:page;mso-position-vertical-relative:page;z-index:-5800" type="#_x0000_t202" filled="false" stroked="false">
          <v:textbox inset="0,0,0,0">
            <w:txbxContent>
              <w:p>
                <w:pPr>
                  <w:pStyle w:val="BodyText"/>
                  <w:spacing w:line="204" w:lineRule="exact"/>
                  <w:ind w:left="40"/>
                </w:pPr>
                <w:r>
                  <w:rPr/>
                  <w:fldChar w:fldCharType="begin"/>
                </w:r>
                <w:r>
                  <w:rPr>
                    <w:w w:val="99"/>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29559">
          <wp:simplePos x="0" y="0"/>
          <wp:positionH relativeFrom="page">
            <wp:posOffset>356453</wp:posOffset>
          </wp:positionH>
          <wp:positionV relativeFrom="page">
            <wp:posOffset>255618</wp:posOffset>
          </wp:positionV>
          <wp:extent cx="1220581" cy="83165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220581" cy="831659"/>
                  </a:xfrm>
                  <a:prstGeom prst="rect">
                    <a:avLst/>
                  </a:prstGeom>
                </pic:spPr>
              </pic:pic>
            </a:graphicData>
          </a:graphic>
        </wp:anchor>
      </w:drawing>
    </w:r>
    <w:r>
      <w:rPr/>
      <w:drawing>
        <wp:anchor distT="0" distB="0" distL="0" distR="0" allowOverlap="1" layoutInCell="1" locked="0" behindDoc="1" simplePos="0" relativeHeight="268429583">
          <wp:simplePos x="0" y="0"/>
          <wp:positionH relativeFrom="page">
            <wp:posOffset>5299989</wp:posOffset>
          </wp:positionH>
          <wp:positionV relativeFrom="page">
            <wp:posOffset>828059</wp:posOffset>
          </wp:positionV>
          <wp:extent cx="1184576" cy="21601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184576" cy="21601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12.430786pt;margin-top:68.740211pt;width:53.35pt;height:13.95pt;mso-position-horizontal-relative:page;mso-position-vertical-relative:page;z-index:-5848" type="#_x0000_t202" filled="false" stroked="false">
          <v:textbox inset="0,0,0,0">
            <w:txbxContent>
              <w:p>
                <w:pPr>
                  <w:spacing w:line="241" w:lineRule="exact" w:before="0"/>
                  <w:ind w:left="20" w:right="0" w:firstLine="0"/>
                  <w:jc w:val="left"/>
                  <w:rPr>
                    <w:sz w:val="24"/>
                  </w:rPr>
                </w:pPr>
                <w:r>
                  <w:rPr>
                    <w:color w:val="003C78"/>
                    <w:sz w:val="24"/>
                  </w:rPr>
                  <w:t>30 MS uo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586" w:hanging="125"/>
      </w:pPr>
      <w:rPr>
        <w:rFonts w:hint="default"/>
        <w:w w:val="104"/>
      </w:rPr>
    </w:lvl>
    <w:lvl w:ilvl="1">
      <w:start w:val="0"/>
      <w:numFmt w:val="bullet"/>
      <w:lvlText w:val="•"/>
      <w:lvlJc w:val="left"/>
      <w:pPr>
        <w:ind w:left="3404" w:hanging="125"/>
      </w:pPr>
      <w:rPr>
        <w:rFonts w:hint="default"/>
      </w:rPr>
    </w:lvl>
    <w:lvl w:ilvl="2">
      <w:start w:val="0"/>
      <w:numFmt w:val="bullet"/>
      <w:lvlText w:val="•"/>
      <w:lvlJc w:val="left"/>
      <w:pPr>
        <w:ind w:left="4228" w:hanging="125"/>
      </w:pPr>
      <w:rPr>
        <w:rFonts w:hint="default"/>
      </w:rPr>
    </w:lvl>
    <w:lvl w:ilvl="3">
      <w:start w:val="0"/>
      <w:numFmt w:val="bullet"/>
      <w:lvlText w:val="•"/>
      <w:lvlJc w:val="left"/>
      <w:pPr>
        <w:ind w:left="5052" w:hanging="125"/>
      </w:pPr>
      <w:rPr>
        <w:rFonts w:hint="default"/>
      </w:rPr>
    </w:lvl>
    <w:lvl w:ilvl="4">
      <w:start w:val="0"/>
      <w:numFmt w:val="bullet"/>
      <w:lvlText w:val="•"/>
      <w:lvlJc w:val="left"/>
      <w:pPr>
        <w:ind w:left="5876" w:hanging="125"/>
      </w:pPr>
      <w:rPr>
        <w:rFonts w:hint="default"/>
      </w:rPr>
    </w:lvl>
    <w:lvl w:ilvl="5">
      <w:start w:val="0"/>
      <w:numFmt w:val="bullet"/>
      <w:lvlText w:val="•"/>
      <w:lvlJc w:val="left"/>
      <w:pPr>
        <w:ind w:left="6700" w:hanging="125"/>
      </w:pPr>
      <w:rPr>
        <w:rFonts w:hint="default"/>
      </w:rPr>
    </w:lvl>
    <w:lvl w:ilvl="6">
      <w:start w:val="0"/>
      <w:numFmt w:val="bullet"/>
      <w:lvlText w:val="•"/>
      <w:lvlJc w:val="left"/>
      <w:pPr>
        <w:ind w:left="7524" w:hanging="125"/>
      </w:pPr>
      <w:rPr>
        <w:rFonts w:hint="default"/>
      </w:rPr>
    </w:lvl>
    <w:lvl w:ilvl="7">
      <w:start w:val="0"/>
      <w:numFmt w:val="bullet"/>
      <w:lvlText w:val="•"/>
      <w:lvlJc w:val="left"/>
      <w:pPr>
        <w:ind w:left="8348" w:hanging="125"/>
      </w:pPr>
      <w:rPr>
        <w:rFonts w:hint="default"/>
      </w:rPr>
    </w:lvl>
    <w:lvl w:ilvl="8">
      <w:start w:val="0"/>
      <w:numFmt w:val="bullet"/>
      <w:lvlText w:val="•"/>
      <w:lvlJc w:val="left"/>
      <w:pPr>
        <w:ind w:left="9172" w:hanging="125"/>
      </w:pPr>
      <w:rPr>
        <w:rFonts w:hint="default"/>
      </w:rPr>
    </w:lvl>
  </w:abstractNum>
  <w:abstractNum w:abstractNumId="0">
    <w:multiLevelType w:val="hybridMultilevel"/>
    <w:lvl w:ilvl="0">
      <w:start w:val="0"/>
      <w:numFmt w:val="bullet"/>
      <w:lvlText w:val="–"/>
      <w:lvlJc w:val="left"/>
      <w:pPr>
        <w:ind w:left="2627" w:hanging="156"/>
      </w:pPr>
      <w:rPr>
        <w:rFonts w:hint="default"/>
        <w:w w:val="104"/>
      </w:rPr>
    </w:lvl>
    <w:lvl w:ilvl="1">
      <w:start w:val="0"/>
      <w:numFmt w:val="bullet"/>
      <w:lvlText w:val="•"/>
      <w:lvlJc w:val="left"/>
      <w:pPr>
        <w:ind w:left="3440" w:hanging="156"/>
      </w:pPr>
      <w:rPr>
        <w:rFonts w:hint="default"/>
      </w:rPr>
    </w:lvl>
    <w:lvl w:ilvl="2">
      <w:start w:val="0"/>
      <w:numFmt w:val="bullet"/>
      <w:lvlText w:val="•"/>
      <w:lvlJc w:val="left"/>
      <w:pPr>
        <w:ind w:left="4260" w:hanging="156"/>
      </w:pPr>
      <w:rPr>
        <w:rFonts w:hint="default"/>
      </w:rPr>
    </w:lvl>
    <w:lvl w:ilvl="3">
      <w:start w:val="0"/>
      <w:numFmt w:val="bullet"/>
      <w:lvlText w:val="•"/>
      <w:lvlJc w:val="left"/>
      <w:pPr>
        <w:ind w:left="5080" w:hanging="156"/>
      </w:pPr>
      <w:rPr>
        <w:rFonts w:hint="default"/>
      </w:rPr>
    </w:lvl>
    <w:lvl w:ilvl="4">
      <w:start w:val="0"/>
      <w:numFmt w:val="bullet"/>
      <w:lvlText w:val="•"/>
      <w:lvlJc w:val="left"/>
      <w:pPr>
        <w:ind w:left="5900" w:hanging="156"/>
      </w:pPr>
      <w:rPr>
        <w:rFonts w:hint="default"/>
      </w:rPr>
    </w:lvl>
    <w:lvl w:ilvl="5">
      <w:start w:val="0"/>
      <w:numFmt w:val="bullet"/>
      <w:lvlText w:val="•"/>
      <w:lvlJc w:val="left"/>
      <w:pPr>
        <w:ind w:left="6720" w:hanging="156"/>
      </w:pPr>
      <w:rPr>
        <w:rFonts w:hint="default"/>
      </w:rPr>
    </w:lvl>
    <w:lvl w:ilvl="6">
      <w:start w:val="0"/>
      <w:numFmt w:val="bullet"/>
      <w:lvlText w:val="•"/>
      <w:lvlJc w:val="left"/>
      <w:pPr>
        <w:ind w:left="7540" w:hanging="156"/>
      </w:pPr>
      <w:rPr>
        <w:rFonts w:hint="default"/>
      </w:rPr>
    </w:lvl>
    <w:lvl w:ilvl="7">
      <w:start w:val="0"/>
      <w:numFmt w:val="bullet"/>
      <w:lvlText w:val="•"/>
      <w:lvlJc w:val="left"/>
      <w:pPr>
        <w:ind w:left="8360" w:hanging="156"/>
      </w:pPr>
      <w:rPr>
        <w:rFonts w:hint="default"/>
      </w:rPr>
    </w:lvl>
    <w:lvl w:ilvl="8">
      <w:start w:val="0"/>
      <w:numFmt w:val="bullet"/>
      <w:lvlText w:val="•"/>
      <w:lvlJc w:val="left"/>
      <w:pPr>
        <w:ind w:left="9180" w:hanging="156"/>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NeueLT Std" w:hAnsi="HelveticaNeueLT Std" w:eastAsia="HelveticaNeueLT Std" w:cs="HelveticaNeueLT Std"/>
    </w:rPr>
  </w:style>
  <w:style w:styleId="BodyText" w:type="paragraph">
    <w:name w:val="Body Text"/>
    <w:basedOn w:val="Normal"/>
    <w:uiPriority w:val="1"/>
    <w:qFormat/>
    <w:pPr/>
    <w:rPr>
      <w:rFonts w:ascii="HelveticaNeueLT Std" w:hAnsi="HelveticaNeueLT Std" w:eastAsia="HelveticaNeueLT Std" w:cs="HelveticaNeueLT Std"/>
      <w:sz w:val="20"/>
      <w:szCs w:val="20"/>
    </w:rPr>
  </w:style>
  <w:style w:styleId="Heading1" w:type="paragraph">
    <w:name w:val="Heading 1"/>
    <w:basedOn w:val="Normal"/>
    <w:uiPriority w:val="1"/>
    <w:qFormat/>
    <w:pPr>
      <w:spacing w:line="238" w:lineRule="exact"/>
      <w:ind w:left="2461"/>
      <w:outlineLvl w:val="1"/>
    </w:pPr>
    <w:rPr>
      <w:rFonts w:ascii="HelveticaNeueLT Std" w:hAnsi="HelveticaNeueLT Std" w:eastAsia="HelveticaNeueLT Std" w:cs="HelveticaNeueLT Std"/>
      <w:b/>
      <w:bCs/>
      <w:sz w:val="20"/>
      <w:szCs w:val="20"/>
    </w:rPr>
  </w:style>
  <w:style w:styleId="ListParagraph" w:type="paragraph">
    <w:name w:val="List Paragraph"/>
    <w:basedOn w:val="Normal"/>
    <w:uiPriority w:val="1"/>
    <w:qFormat/>
    <w:pPr>
      <w:ind w:left="2627" w:hanging="166"/>
    </w:pPr>
    <w:rPr>
      <w:rFonts w:ascii="HelveticaNeueLT Std" w:hAnsi="HelveticaNeueLT Std" w:eastAsia="HelveticaNeueLT Std" w:cs="HelveticaNeueLT Std"/>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info@hawa.com" TargetMode="External"/><Relationship Id="rId2" Type="http://schemas.openxmlformats.org/officeDocument/2006/relationships/hyperlink" Target="http://www.haw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2023-04-17T15:02:17Z</dcterms:created>
  <dcterms:modified xsi:type="dcterms:W3CDTF">2023-04-17T15:02:17Z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2021-06-25T00:00:00Z</vt:filetime>
  </property>
  <property fmtid="{D5CDD505-2E9C-101B-9397-08002B2CF9AE}" pid="3" name="LastSaved">
    <vt:filetime>2023-04-17T00:00:00Z</vt:filetime>
  </property>
</Properties>
</file>