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tabs>
          <w:tab w:pos="2461" w:val="left" w:leader="none"/>
        </w:tabs>
        <w:spacing w:before="85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1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3.118575pt;margin-top:99.139702pt;width:589.15pt;height:354.1pt;mso-position-horizontal-relative:page;mso-position-vertical-relative:page;z-index:-6712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72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volets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Montage au plafond ou sur linteau.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5112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"/>
                      <w:ind w:left="2324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5112;width:276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3.84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m²)</w:t>
                    </w:r>
                  </w:p>
                  <w:p>
                    <w:pPr>
                      <w:spacing w:line="261" w:lineRule="auto" w:before="22"/>
                      <w:ind w:left="0" w:right="16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692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692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7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140 A Telescopic 2 composé d’un rail de roulement en haut (aluminium, épaisseur de paroi 3,5 mm), d’un chariot avec des galets en plastique et étrier de suspension, d’une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/>
        <w:t>système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blocage</w:t>
      </w:r>
      <w:r>
        <w:rPr>
          <w:spacing w:val="-3"/>
        </w:rPr>
        <w:t> </w:t>
      </w:r>
      <w:r>
        <w:rPr/>
        <w:t>réglable,</w:t>
      </w:r>
      <w:r>
        <w:rPr>
          <w:spacing w:val="-4"/>
        </w:rPr>
        <w:t> </w:t>
      </w:r>
      <w:r>
        <w:rPr/>
        <w:t>galets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déviation,</w:t>
      </w:r>
      <w:r>
        <w:rPr>
          <w:spacing w:val="-4"/>
        </w:rPr>
        <w:t> </w:t>
      </w:r>
      <w:r>
        <w:rPr/>
        <w:t>entraîneur,</w:t>
      </w:r>
      <w:r>
        <w:rPr>
          <w:spacing w:val="-4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 serrage pour couroie dentée, courroie crantée, rail de guidage et élément de guidage en</w:t>
      </w:r>
      <w:r>
        <w:rPr>
          <w:spacing w:val="-37"/>
        </w:rPr>
        <w:t> </w:t>
      </w:r>
      <w:r>
        <w:rPr/>
        <w:t>bas.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tabs>
          <w:tab w:pos="2461" w:val="left" w:leader="none"/>
        </w:tabs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2023-01-04T13:57:38Z</dcterms:created>
  <dcterms:modified xsi:type="dcterms:W3CDTF">2023-01-04T13:57:38Z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