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tabs>
          <w:tab w:pos="2461" w:val="left" w:leader="none"/>
        </w:tabs>
        <w:spacing w:before="98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position w:val="1"/>
          <w:sz w:val="19"/>
        </w:rPr>
        <w:t>Serrures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et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ferrures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de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bâtiment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–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ferrures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pour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portes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coulissantes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et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selon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EN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13659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DIN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EN</w:t>
      </w:r>
      <w:r>
        <w:rPr>
          <w:spacing w:val="-3"/>
          <w:position w:val="1"/>
          <w:sz w:val="19"/>
        </w:rPr>
        <w:t> </w:t>
      </w:r>
      <w:r>
        <w:rPr>
          <w:position w:val="1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  <w:spacing w:before="11"/>
        <w:rPr>
          <w:sz w:val="27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3.118575pt;margin-top:99.139702pt;width:589.15pt;height:342.75pt;mso-position-horizontal-relative:page;mso-position-vertical-relative:page;z-index:-6640" coordorigin="62,1983" coordsize="11783,685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14;top:3921;width:482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511" coordorigin="62,5606" coordsize="11783,511" path="m11845,5606l11289,5606,7615,5606,2897,5606,62,5606,62,6116,2897,6116,7615,6116,11289,6116,11845,6116,11845,5606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coordorigin="62,8185" coordsize="11783,256" path="m11845,8185l11289,8185,7615,8185,2897,8185,62,8185,62,8441,2897,8441,7615,8441,11289,8441,11845,8441,11845,8185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rect style="position:absolute;left:62;top:8440;width:11772;height:397" filled="true" fillcolor="#f4f4f4" stroked="false">
              <v:fill type="solid"/>
            </v:rect>
            <v:shape style="position:absolute;left:572;top:2243;width:1070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inférieur. Montage au plafond ou sur linteau.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218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 minimale du rail</w:t>
                    </w:r>
                  </w:p>
                </w:txbxContent>
              </v:textbox>
              <w10:wrap type="none"/>
            </v:shape>
            <v:shape style="position:absolute;left:3464;top:4029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023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4885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59" w:lineRule="auto" w:before="5"/>
                      <w:ind w:left="2324" w:right="13" w:firstLine="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4885;width:277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line="261" w:lineRule="auto" w:before="22"/>
                      <w:ind w:left="0" w:right="17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≥28 mm 3200 mm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400–3750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9.6 m²)²)</w:t>
                    </w:r>
                  </w:p>
                  <w:p>
                    <w:pPr>
                      <w:spacing w:line="261" w:lineRule="auto" w:before="22"/>
                      <w:ind w:left="0" w:right="17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 7500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465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465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99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9"/>
        </w:rPr>
        <w:t> </w:t>
      </w:r>
      <w:r>
        <w:rPr/>
        <w:t>Frontslide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niedrig</w:t>
      </w:r>
      <w:r>
        <w:rPr>
          <w:spacing w:val="-9"/>
        </w:rPr>
        <w:t> </w:t>
      </w:r>
      <w:r>
        <w:rPr/>
        <w:t>composé</w:t>
      </w:r>
      <w:r>
        <w:rPr>
          <w:spacing w:val="-8"/>
        </w:rPr>
        <w:t> </w:t>
      </w:r>
      <w:r>
        <w:rPr/>
        <w:t>d’un</w:t>
      </w:r>
      <w:r>
        <w:rPr>
          <w:spacing w:val="-9"/>
        </w:rPr>
        <w:t> </w:t>
      </w:r>
      <w:r>
        <w:rPr/>
        <w:t>rail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roulement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haut</w:t>
      </w:r>
      <w:r>
        <w:rPr>
          <w:spacing w:val="-9"/>
        </w:rPr>
        <w:t> </w:t>
      </w:r>
      <w:r>
        <w:rPr/>
        <w:t>(aluminium,</w:t>
      </w:r>
      <w:r>
        <w:rPr>
          <w:spacing w:val="-9"/>
        </w:rPr>
        <w:t> </w:t>
      </w:r>
      <w:r>
        <w:rPr/>
        <w:t>épaisseur</w:t>
      </w:r>
      <w:r>
        <w:rPr>
          <w:spacing w:val="-9"/>
        </w:rPr>
        <w:t> </w:t>
      </w:r>
      <w:r>
        <w:rPr>
          <w:spacing w:val="-8"/>
        </w:rPr>
        <w:t>de </w:t>
      </w:r>
      <w:r>
        <w:rPr/>
        <w:t>paroi</w:t>
      </w:r>
      <w:r>
        <w:rPr>
          <w:spacing w:val="-8"/>
        </w:rPr>
        <w:t> </w:t>
      </w:r>
      <w:r>
        <w:rPr/>
        <w:t>3,0</w:t>
      </w:r>
      <w:r>
        <w:rPr>
          <w:spacing w:val="-7"/>
        </w:rPr>
        <w:t> </w:t>
      </w:r>
      <w:r>
        <w:rPr/>
        <w:t>mm),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/>
        <w:t>chariot</w:t>
      </w:r>
      <w:r>
        <w:rPr>
          <w:spacing w:val="-7"/>
        </w:rPr>
        <w:t> </w:t>
      </w:r>
      <w:r>
        <w:rPr/>
        <w:t>avec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galets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plastique,</w:t>
      </w:r>
      <w:r>
        <w:rPr>
          <w:spacing w:val="-7"/>
        </w:rPr>
        <w:t> </w:t>
      </w:r>
      <w:r>
        <w:rPr/>
        <w:t>d’une</w:t>
      </w:r>
      <w:r>
        <w:rPr>
          <w:spacing w:val="-7"/>
        </w:rPr>
        <w:t> </w:t>
      </w:r>
      <w:r>
        <w:rPr/>
        <w:t>butée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avec</w:t>
      </w:r>
      <w:r>
        <w:rPr>
          <w:spacing w:val="-7"/>
        </w:rPr>
        <w:t> </w:t>
      </w:r>
      <w:r>
        <w:rPr/>
        <w:t>système</w:t>
      </w:r>
      <w:r>
        <w:rPr>
          <w:spacing w:val="-7"/>
        </w:rPr>
        <w:t> </w:t>
      </w:r>
      <w:r>
        <w:rPr/>
        <w:t>de blocage réglable, rail de guidage et élément de guidage en</w:t>
      </w:r>
      <w:r>
        <w:rPr>
          <w:spacing w:val="-23"/>
        </w:rPr>
        <w:t> </w:t>
      </w:r>
      <w:r>
        <w:rPr/>
        <w:t>bas.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before="6"/>
        <w:ind w:left="2461"/>
      </w:pPr>
      <w:r>
        <w:rPr/>
        <w:t>(</w:t>
        <w:tab/>
        <w:t>) Mehrbahnig</w:t>
      </w:r>
      <w:r>
        <w:rPr>
          <w:spacing w:val="-3"/>
        </w:rPr>
        <w:t> </w:t>
      </w:r>
      <w:r>
        <w:rPr/>
        <w:t>möglich</w:t>
      </w:r>
    </w:p>
    <w:p>
      <w:pPr>
        <w:pStyle w:val="BodyText"/>
        <w:tabs>
          <w:tab w:pos="2732" w:val="left" w:leader="dot"/>
        </w:tabs>
        <w:ind w:left="2461" w:right="3923"/>
      </w:pPr>
      <w:r>
        <w:rPr/>
        <w:t>(….) Befestigung oben an Wand mit Winkel</w:t>
      </w:r>
      <w:r>
        <w:rPr>
          <w:spacing w:val="-38"/>
        </w:rPr>
        <w:t> </w:t>
      </w:r>
      <w:r>
        <w:rPr/>
        <w:t>bauseits (</w:t>
        <w:tab/>
        <w:t>) Fixation en bas au mur ou au</w:t>
      </w:r>
      <w:r>
        <w:rPr>
          <w:spacing w:val="-11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Verrouillage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≥28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78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99">
          <wp:simplePos x="0" y="0"/>
          <wp:positionH relativeFrom="page">
            <wp:posOffset>3618539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476501pt;margin-top:68.660194pt;width:168.7pt;height:13.9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Rail de roulement</w:t>
                </w:r>
                <w:r>
                  <w:rPr>
                    <w:color w:val="003C78"/>
                    <w:spacing w:val="-3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inférieur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2023-01-05T09:49:15Z</dcterms:created>
  <dcterms:modified xsi:type="dcterms:W3CDTF">2023-01-05T09:49:15Z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