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6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bâtiment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6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portes</w:t>
      </w:r>
      <w:r>
        <w:rPr>
          <w:spacing w:val="-6"/>
          <w:sz w:val="19"/>
        </w:rPr>
        <w:t> </w:t>
      </w:r>
      <w:r>
        <w:rPr>
          <w:sz w:val="19"/>
        </w:rPr>
        <w:t>coulissantes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selon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13659</w:t>
      </w:r>
      <w:r>
        <w:rPr>
          <w:spacing w:val="-7"/>
          <w:sz w:val="19"/>
        </w:rPr>
        <w:t> </w:t>
      </w:r>
      <w:r>
        <w:rPr>
          <w:sz w:val="19"/>
        </w:rPr>
        <w:t>DIN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6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26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3.118575pt;margin-top:99.139702pt;width:589.15pt;height:342.75pt;mso-position-horizontal-relative:page;mso-position-vertical-relative:page;z-index:-6736" coordorigin="62,1983" coordsize="11783,685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511" coordorigin="62,5606" coordsize="11783,511" path="m11845,5606l11289,5606,7615,5606,2897,5606,62,5606,62,6116,2897,6116,7615,6116,11289,6116,11845,6116,11845,5606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rect style="position:absolute;left:62;top:8440;width:11772;height:397" filled="true" fillcolor="#f4f4f4" stroked="false">
              <v:fill type="solid"/>
            </v:rect>
            <v:shape style="position:absolute;left:572;top:2243;width:1046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volets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ou sur linteau. Hauteur d’installation 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435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Fente entre le volet et le rail, réduite au minimum</w:t>
                    </w:r>
                  </w:p>
                </w:txbxContent>
              </v:textbox>
              <w10:wrap type="none"/>
            </v:shape>
            <v:shape style="position:absolute;left:3464;top:4029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023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572;top:4885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59" w:lineRule="auto" w:before="5"/>
                      <w:ind w:left="2324" w:right="13" w:firstLine="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4885;width:265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400–3750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9.6 m²)</w:t>
                    </w:r>
                  </w:p>
                  <w:p>
                    <w:pPr>
                      <w:spacing w:line="261" w:lineRule="auto" w:before="22"/>
                      <w:ind w:left="0" w:right="16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 7500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</w:p>
                </w:txbxContent>
              </v:textbox>
              <w10:wrap type="none"/>
            </v:shape>
            <v:shape style="position:absolute;left:572;top:7465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465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8"/>
        <w:ind w:left="112" w:right="4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4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60"/>
          <w:cols w:num="2" w:equalWidth="0">
            <w:col w:w="910" w:space="1436"/>
            <w:col w:w="8644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3" w:hanging="2349"/>
        <w:jc w:val="both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60 B composé d’un rail de roulement en haut (aluminium, épaisseur de </w:t>
      </w:r>
      <w:r>
        <w:rPr>
          <w:spacing w:val="-3"/>
        </w:rPr>
        <w:t>paroi </w:t>
      </w:r>
      <w:r>
        <w:rPr/>
        <w:t>3,0 mm), d’un chariot avec des galets en plastique et étrier de suspension, d’une butée de rail avec système de blocage réglable, rail de guidage et élément de guidage en</w:t>
      </w:r>
      <w:r>
        <w:rPr>
          <w:spacing w:val="-23"/>
        </w:rPr>
        <w:t> </w:t>
      </w:r>
      <w:r>
        <w:rPr/>
        <w:t>bas.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Possibilité de plusieurs</w:t>
      </w:r>
      <w:r>
        <w:rPr>
          <w:spacing w:val="-3"/>
        </w:rPr>
        <w:t> </w:t>
      </w:r>
      <w:r>
        <w:rPr/>
        <w:t>voies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Fixation en haut du mur avec une équerre fournie par le</w:t>
      </w:r>
      <w:r>
        <w:rPr>
          <w:spacing w:val="-13"/>
        </w:rPr>
        <w:t> </w:t>
      </w:r>
      <w:r>
        <w:rPr/>
        <w:t>client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)Fixation en bas au mur ou au</w:t>
      </w:r>
      <w:r>
        <w:rPr>
          <w:spacing w:val="-6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2461" w:val="left" w:leader="none"/>
        </w:tabs>
        <w:spacing w:line="247" w:lineRule="exact" w:before="1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 haut, à l’arrière encoche pour charnière de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par vis de la charnière de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5548426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13428pt;margin-top:68.660194pt;width:26.6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2023-01-05T11:09:56Z</dcterms:created>
  <dcterms:modified xsi:type="dcterms:W3CDTF">2023-01-05T11:09:56Z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