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3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4 volets coulissants en bois ou en métal jusqu’à 40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3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4415" w:val="left" w:leader="none"/>
        </w:tabs>
        <w:spacing w:before="95"/>
        <w:ind w:left="3009"/>
      </w:pPr>
      <w:r>
        <w:rPr>
          <w:b/>
        </w:rPr>
        <w:t>Esthétique</w:t>
        <w:tab/>
      </w:r>
      <w:r>
        <w:rPr>
          <w:position w:val="1"/>
        </w:rPr>
        <w:t>Façade évolutive et vivante avec des éléments de design</w:t>
      </w:r>
      <w:r>
        <w:rPr>
          <w:spacing w:val="-33"/>
          <w:position w:val="1"/>
        </w:rPr>
        <w:t> </w:t>
      </w:r>
      <w:r>
        <w:rPr>
          <w:position w:val="1"/>
        </w:rPr>
        <w:t>intéressants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40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3.94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5800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12"/>
        <w:ind w:left="2433"/>
      </w:pPr>
      <w:r>
        <w:rPr>
          <w:position w:val="1"/>
        </w:rPr>
        <w:t>Surface</w:t>
      </w:r>
      <w:r>
        <w:rPr>
          <w:spacing w:val="-5"/>
          <w:position w:val="1"/>
        </w:rPr>
        <w:t> </w:t>
      </w:r>
      <w:r>
        <w:rPr>
          <w:position w:val="1"/>
        </w:rPr>
        <w:t>max.</w:t>
      </w:r>
      <w:r>
        <w:rPr>
          <w:spacing w:val="-5"/>
          <w:position w:val="1"/>
        </w:rPr>
        <w:t> </w:t>
      </w:r>
      <w:r>
        <w:rPr>
          <w:position w:val="1"/>
        </w:rPr>
        <w:t>d`ombrage</w:t>
        <w:tab/>
      </w:r>
      <w:r>
        <w:rPr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before="98"/>
      </w:pPr>
      <w:r>
        <w:rPr/>
        <w:t>Tests réalisés</w:t>
      </w:r>
    </w:p>
    <w:p>
      <w:pPr>
        <w:spacing w:before="98"/>
        <w:ind w:left="11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Serrures et ferrures de bâtiment – ferrures pour portes coulissantes et selon EN 13659 DIN EN 1670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02" w:after="0"/>
        <w:ind w:left="268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9" w:after="0"/>
        <w:ind w:left="268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1700" w:bottom="1300" w:left="460" w:right="440"/>
          <w:cols w:num="2" w:equalWidth="0">
            <w:col w:w="1467" w:space="881"/>
            <w:col w:w="8662"/>
          </w:cols>
        </w:sectPr>
      </w:pPr>
    </w:p>
    <w:p>
      <w:pPr>
        <w:pStyle w:val="BodyText"/>
        <w:rPr>
          <w:sz w:val="2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spacing w:before="9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– Résistance à la corrosion :</w:t>
      </w:r>
    </w:p>
    <w:p>
      <w:pPr>
        <w:spacing w:before="10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78.5pt;mso-position-horizontal-relative:page;mso-position-vertical-relative:page;z-index:-6016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21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60 Matic Telescopic 4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3,0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courroie dentée, serrure à courroie crantée, entraîneur, rail de guidage et élément de guidage en</w:t>
      </w:r>
      <w:r>
        <w:rPr>
          <w:spacing w:val="-19"/>
        </w:rPr>
        <w:t> </w:t>
      </w:r>
      <w:r>
        <w:rPr/>
        <w:t>bas.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Profil d'angle de support pour une fixation au</w:t>
      </w:r>
      <w:r>
        <w:rPr>
          <w:spacing w:val="-12"/>
        </w:rPr>
        <w:t> </w:t>
      </w:r>
      <w:r>
        <w:rPr/>
        <w:t>mur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9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2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6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2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6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2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9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2"/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2"/>
        </w:numPr>
        <w:tabs>
          <w:tab w:pos="2673" w:val="left" w:leader="none"/>
        </w:tabs>
        <w:spacing w:line="240" w:lineRule="auto" w:before="3" w:after="0"/>
        <w:ind w:left="2672" w:right="0" w:hanging="211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7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2459"/>
      </w:pPr>
      <w:r>
        <w:rPr/>
        <w:t>Réglage</w:t>
      </w:r>
    </w:p>
    <w:p>
      <w:pPr>
        <w:pStyle w:val="ListParagraph"/>
        <w:numPr>
          <w:ilvl w:val="0"/>
          <w:numId w:val="2"/>
        </w:numPr>
        <w:tabs>
          <w:tab w:pos="2615" w:val="left" w:leader="none"/>
        </w:tabs>
        <w:spacing w:line="240" w:lineRule="auto" w:before="3" w:after="0"/>
        <w:ind w:left="2614" w:right="0" w:hanging="155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7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94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92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4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463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8" w:hanging="156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262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7" w:hanging="1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2023-01-05T12:50:42Z</dcterms:created>
  <dcterms:modified xsi:type="dcterms:W3CDTF">2023-01-05T12:50:42Z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