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group style="position:absolute;margin-left:3.118575pt;margin-top:99.139702pt;width:589.15pt;height:492.45pt;mso-position-horizontal-relative:page;mso-position-vertical-relative:page;z-index:-15846912" id="docshapegroup4" coordorigin="62,1983" coordsize="11783,9849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72;height:1616" id="docshape11" coordorigin="62,4375" coordsize="11772,1616" path="m3464,5067l2897,5067,62,5067,62,5991,2897,5991,3464,5991,3464,5067xm11834,4375l11119,4375,4882,4375,3464,4375,3464,5067,4882,5067,11119,5067,11834,5067,11834,4375xe" filled="true" fillcolor="#f4f4f4" stroked="false">
              <v:path arrowok="t"/>
              <v:fill type="solid"/>
            </v:shape>
            <v:shape style="position:absolute;left:2914;top:5095;width:482;height:454" type="#_x0000_t75" id="docshape12" stroked="false">
              <v:imagedata r:id="rId9" o:title=""/>
            </v:shape>
            <v:shape style="position:absolute;left:62;top:5067;width:11783;height:1463" id="docshape13" coordorigin="62,5067" coordsize="11783,1463" path="m11845,5991l11828,5991,11828,5067,11289,5067,4882,5067,3464,5067,3464,5991,2897,5991,62,5991,62,6530,2897,6530,7615,6530,11289,6530,11845,6530,11845,5991xe" filled="true" fillcolor="#f4f4f4" stroked="false">
              <v:path arrowok="t"/>
              <v:fill type="solid"/>
            </v:shape>
            <v:rect style="position:absolute;left:2897;top:6507;width:4718;height:23" id="docshape14" filled="true" fillcolor="#dcdcdc" stroked="false">
              <v:fill type="solid"/>
            </v:rect>
            <v:line style="position:absolute" from="2909,6519" to="7604,6519" stroked="true" strokeweight="0pt" strokecolor="#dcdcdc">
              <v:stroke dashstyle="solid"/>
            </v:line>
            <v:rect style="position:absolute;left:7615;top:6507;width:3675;height:23" id="docshape15" filled="true" fillcolor="#dcdcdc" stroked="false">
              <v:fill type="solid"/>
            </v:rect>
            <v:line style="position:absolute" from="7626,6519" to="11278,6519" stroked="true" strokeweight="0pt" strokecolor="#dcdcdc">
              <v:stroke dashstyle="solid"/>
            </v:line>
            <v:shape style="position:absolute;left:62;top:6529;width:11783;height:256" id="docshape16" coordorigin="62,6530" coordsize="11783,256" path="m11845,6530l11289,6530,7615,6530,2897,6530,62,6530,62,6785,2897,6785,7615,6785,11289,6785,11845,6785,11845,6530xe" filled="true" fillcolor="#f4f4f4" stroked="false">
              <v:path arrowok="t"/>
              <v:fill type="solid"/>
            </v:shape>
            <v:rect style="position:absolute;left:2897;top:6762;width:4718;height:23" id="docshape17" filled="true" fillcolor="#dcdcdc" stroked="false">
              <v:fill type="solid"/>
            </v:rect>
            <v:line style="position:absolute" from="2909,6774" to="7604,6774" stroked="true" strokeweight="0pt" strokecolor="#dcdcdc">
              <v:stroke dashstyle="solid"/>
            </v:line>
            <v:rect style="position:absolute;left:7615;top:6762;width:3675;height:23" id="docshape18" filled="true" fillcolor="#dcdcdc" stroked="false">
              <v:fill type="solid"/>
            </v:rect>
            <v:line style="position:absolute" from="7626,6774" to="11278,6774" stroked="true" strokeweight="0pt" strokecolor="#dcdcdc">
              <v:stroke dashstyle="solid"/>
            </v:line>
            <v:shape style="position:absolute;left:62;top:6785;width:11783;height:256" id="docshape19" coordorigin="62,6785" coordsize="11783,256" path="m11845,6785l11289,6785,7615,6785,2897,6785,62,6785,62,7040,2897,7040,7615,7040,11289,7040,11845,7040,11845,6785xe" filled="true" fillcolor="#f4f4f4" stroked="false">
              <v:path arrowok="t"/>
              <v:fill type="solid"/>
            </v:shape>
            <v:rect style="position:absolute;left:2897;top:7017;width:4718;height:23" id="docshape20" filled="true" fillcolor="#dcdcdc" stroked="false">
              <v:fill type="solid"/>
            </v:rect>
            <v:line style="position:absolute" from="2909,7029" to="7604,7029" stroked="true" strokeweight="0pt" strokecolor="#dcdcdc">
              <v:stroke dashstyle="solid"/>
            </v:line>
            <v:rect style="position:absolute;left:7615;top:7017;width:3675;height:23" id="docshape21" filled="true" fillcolor="#dcdcdc" stroked="false">
              <v:fill type="solid"/>
            </v:rect>
            <v:line style="position:absolute" from="7626,7029" to="11278,7029" stroked="true" strokeweight="0pt" strokecolor="#dcdcdc">
              <v:stroke dashstyle="solid"/>
            </v:line>
            <v:shape style="position:absolute;left:62;top:7040;width:11783;height:256" id="docshape22" coordorigin="62,7040" coordsize="11783,256" path="m11845,7040l11289,7040,7615,7040,2897,7040,62,7040,62,7295,2897,7295,7615,7295,11289,7295,11845,7295,11845,7040xe" filled="true" fillcolor="#f4f4f4" stroked="false">
              <v:path arrowok="t"/>
              <v:fill type="solid"/>
            </v:shape>
            <v:rect style="position:absolute;left:2897;top:7272;width:4718;height:23" id="docshape23" filled="true" fillcolor="#dcdcdc" stroked="false">
              <v:fill type="solid"/>
            </v:rect>
            <v:line style="position:absolute" from="2909,7284" to="7604,7284" stroked="true" strokeweight="0pt" strokecolor="#dcdcdc">
              <v:stroke dashstyle="solid"/>
            </v:line>
            <v:rect style="position:absolute;left:7615;top:7272;width:3675;height:23" id="docshape24" filled="true" fillcolor="#dcdcdc" stroked="false">
              <v:fill type="solid"/>
            </v:rect>
            <v:line style="position:absolute" from="7626,7284" to="11278,7284" stroked="true" strokeweight="0pt" strokecolor="#dcdcdc">
              <v:stroke dashstyle="solid"/>
            </v:line>
            <v:shape style="position:absolute;left:62;top:7295;width:11783;height:256" id="docshape25" coordorigin="62,7295" coordsize="11783,256" path="m11845,7295l11289,7295,7615,7295,2897,7295,62,7295,62,7550,2897,7550,7615,7550,11289,7550,11845,7550,11845,7295xe" filled="true" fillcolor="#f4f4f4" stroked="false">
              <v:path arrowok="t"/>
              <v:fill type="solid"/>
            </v:shape>
            <v:rect style="position:absolute;left:2897;top:7527;width:4718;height:23" id="docshape26" filled="true" fillcolor="#dcdcdc" stroked="false">
              <v:fill type="solid"/>
            </v:rect>
            <v:line style="position:absolute" from="2909,7539" to="7604,7539" stroked="true" strokeweight="0pt" strokecolor="#dcdcdc">
              <v:stroke dashstyle="solid"/>
            </v:line>
            <v:rect style="position:absolute;left:7615;top:7527;width:3675;height:23" id="docshape27" filled="true" fillcolor="#dcdcdc" stroked="false">
              <v:fill type="solid"/>
            </v:rect>
            <v:line style="position:absolute" from="7626,7539" to="11278,7539" stroked="true" strokeweight="0pt" strokecolor="#dcdcdc">
              <v:stroke dashstyle="solid"/>
            </v:line>
            <v:shape style="position:absolute;left:62;top:7550;width:11783;height:256" id="docshape28" coordorigin="62,7550" coordsize="11783,256" path="m11845,7550l11289,7550,7615,7550,2897,7550,62,7550,62,7806,2897,7806,7615,7806,11289,7806,11845,7806,11845,7550xe" filled="true" fillcolor="#f4f4f4" stroked="false">
              <v:path arrowok="t"/>
              <v:fill type="solid"/>
            </v:shape>
            <v:rect style="position:absolute;left:2897;top:7782;width:4718;height:23" id="docshape29" filled="true" fillcolor="#dcdcdc" stroked="false">
              <v:fill type="solid"/>
            </v:rect>
            <v:line style="position:absolute" from="2909,7794" to="7604,7794" stroked="true" strokeweight="0pt" strokecolor="#dcdcdc">
              <v:stroke dashstyle="solid"/>
            </v:line>
            <v:rect style="position:absolute;left:7615;top:7782;width:3675;height:23" id="docshape30" filled="true" fillcolor="#dcdcdc" stroked="false">
              <v:fill type="solid"/>
            </v:rect>
            <v:line style="position:absolute" from="7626,7794" to="11278,7794" stroked="true" strokeweight="0pt" strokecolor="#dcdcdc">
              <v:stroke dashstyle="solid"/>
            </v:line>
            <v:shape style="position:absolute;left:62;top:7805;width:11783;height:256" id="docshape31" coordorigin="62,7806" coordsize="11783,256" path="m11845,7806l11289,7806,7615,7806,2897,7806,62,7806,62,8061,2897,8061,7615,8061,11289,8061,11845,8061,11845,7806xe" filled="true" fillcolor="#f4f4f4" stroked="false">
              <v:path arrowok="t"/>
              <v:fill type="solid"/>
            </v:shape>
            <v:rect style="position:absolute;left:2897;top:8038;width:4718;height:23" id="docshape32" filled="true" fillcolor="#dcdcdc" stroked="false">
              <v:fill type="solid"/>
            </v:rect>
            <v:line style="position:absolute" from="2909,8049" to="7604,8049" stroked="true" strokeweight="0pt" strokecolor="#dcdcdc">
              <v:stroke dashstyle="solid"/>
            </v:line>
            <v:rect style="position:absolute;left:7615;top:8038;width:3675;height:23" id="docshape33" filled="true" fillcolor="#dcdcdc" stroked="false">
              <v:fill type="solid"/>
            </v:rect>
            <v:line style="position:absolute" from="7626,8049" to="11278,8049" stroked="true" strokeweight="0pt" strokecolor="#dcdcdc">
              <v:stroke dashstyle="solid"/>
            </v:line>
            <v:shape style="position:absolute;left:62;top:8060;width:11783;height:256" id="docshape34" coordorigin="62,8061" coordsize="11783,256" path="m11845,8061l11289,8061,7615,8061,2897,8061,62,8061,62,8316,2897,8316,7615,8316,11289,8316,11845,8316,11845,8061xe" filled="true" fillcolor="#f4f4f4" stroked="false">
              <v:path arrowok="t"/>
              <v:fill type="solid"/>
            </v:shape>
            <v:rect style="position:absolute;left:2897;top:8293;width:4718;height:23" id="docshape35" filled="true" fillcolor="#dcdcdc" stroked="false">
              <v:fill type="solid"/>
            </v:rect>
            <v:line style="position:absolute" from="2909,8305" to="7604,8305" stroked="true" strokeweight="0pt" strokecolor="#dcdcdc">
              <v:stroke dashstyle="solid"/>
            </v:line>
            <v:rect style="position:absolute;left:7615;top:8293;width:3675;height:23" id="docshape36" filled="true" fillcolor="#dcdcdc" stroked="false">
              <v:fill type="solid"/>
            </v:rect>
            <v:line style="position:absolute" from="7626,8305" to="11278,8305" stroked="true" strokeweight="0pt" strokecolor="#dcdcdc">
              <v:stroke dashstyle="solid"/>
            </v:line>
            <v:shape style="position:absolute;left:62;top:8315;width:11783;height:256" id="docshape37" coordorigin="62,8316" coordsize="11783,256" path="m11845,8316l11289,8316,7615,8316,2897,8316,62,8316,62,8571,2897,8571,7615,8571,11289,8571,11845,8571,11845,8316xe" filled="true" fillcolor="#f4f4f4" stroked="false">
              <v:path arrowok="t"/>
              <v:fill type="solid"/>
            </v:shape>
            <v:rect style="position:absolute;left:2897;top:8548;width:4718;height:23" id="docshape38" filled="true" fillcolor="#dcdcdc" stroked="false">
              <v:fill type="solid"/>
            </v:rect>
            <v:line style="position:absolute" from="2909,8560" to="7604,8560" stroked="true" strokeweight="0pt" strokecolor="#dcdcdc">
              <v:stroke dashstyle="solid"/>
            </v:line>
            <v:rect style="position:absolute;left:7615;top:8548;width:3675;height:23" id="docshape39" filled="true" fillcolor="#dcdcdc" stroked="false">
              <v:fill type="solid"/>
            </v:rect>
            <v:line style="position:absolute" from="7626,8560" to="11278,8560" stroked="true" strokeweight="0pt" strokecolor="#dcdcdc">
              <v:stroke dashstyle="solid"/>
            </v:line>
            <v:shape style="position:absolute;left:62;top:8571;width:11783;height:511" id="docshape40" coordorigin="62,8571" coordsize="11783,511" path="m11845,8571l11289,8571,7615,8571,2897,8571,62,8571,62,9081,2897,9081,7615,9081,11289,9081,11845,9081,11845,8571xe" filled="true" fillcolor="#f4f4f4" stroked="false">
              <v:path arrowok="t"/>
              <v:fill type="solid"/>
            </v:shape>
            <v:rect style="position:absolute;left:2897;top:9058;width:4718;height:23" id="docshape41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id="docshape42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539" id="docshape43" coordorigin="62,9081" coordsize="11783,539" path="m11845,9081l11289,9081,7615,9081,2897,9081,62,9081,62,9620,2897,9620,7615,9620,11289,9620,11845,9620,11845,9081xe" filled="true" fillcolor="#f4f4f4" stroked="false">
              <v:path arrowok="t"/>
              <v:fill type="solid"/>
            </v:shape>
            <v:rect style="position:absolute;left:2897;top:9597;width:4718;height:23" id="docshape44" filled="true" fillcolor="#dcdcdc" stroked="false">
              <v:fill type="solid"/>
            </v:rect>
            <v:line style="position:absolute" from="2909,9609" to="7604,9609" stroked="true" strokeweight="0pt" strokecolor="#dcdcdc">
              <v:stroke dashstyle="solid"/>
            </v:line>
            <v:rect style="position:absolute;left:7615;top:9597;width:3675;height:23" id="docshape45" filled="true" fillcolor="#dcdcdc" stroked="false">
              <v:fill type="solid"/>
            </v:rect>
            <v:line style="position:absolute" from="7626,9609" to="11278,9609" stroked="true" strokeweight="0pt" strokecolor="#dcdcdc">
              <v:stroke dashstyle="solid"/>
            </v:line>
            <v:shape style="position:absolute;left:62;top:9619;width:11783;height:256" id="docshape46" coordorigin="62,9620" coordsize="11783,256" path="m11845,9620l11289,9620,7615,9620,2897,9620,62,9620,62,9875,2897,9875,7615,9875,11289,9875,11845,9875,11845,9620xe" filled="true" fillcolor="#f4f4f4" stroked="false">
              <v:path arrowok="t"/>
              <v:fill type="solid"/>
            </v:shape>
            <v:rect style="position:absolute;left:2897;top:9852;width:4718;height:23" id="docshape47" filled="true" fillcolor="#dcdcdc" stroked="false">
              <v:fill type="solid"/>
            </v:rect>
            <v:line style="position:absolute" from="2909,9864" to="7604,9864" stroked="true" strokeweight="0pt" strokecolor="#dcdcdc">
              <v:stroke dashstyle="solid"/>
            </v:line>
            <v:rect style="position:absolute;left:7615;top:9852;width:3675;height:23" id="docshape48" filled="true" fillcolor="#dcdcdc" stroked="false">
              <v:fill type="solid"/>
            </v:rect>
            <v:line style="position:absolute" from="7626,9864" to="11278,9864" stroked="true" strokeweight="0pt" strokecolor="#dcdcdc">
              <v:stroke dashstyle="solid"/>
            </v:line>
            <v:shape style="position:absolute;left:62;top:9875;width:11783;height:256" id="docshape49" coordorigin="62,9875" coordsize="11783,256" path="m11845,9875l11289,9875,7615,9875,2897,9875,62,9875,62,10130,2897,10130,7615,10130,11289,10130,11845,10130,11845,9875xe" filled="true" fillcolor="#f4f4f4" stroked="false">
              <v:path arrowok="t"/>
              <v:fill type="solid"/>
            </v:shape>
            <v:rect style="position:absolute;left:2897;top:10107;width:4718;height:23" id="docshape50" filled="true" fillcolor="#dcdcdc" stroked="false">
              <v:fill type="solid"/>
            </v:rect>
            <v:line style="position:absolute" from="2909,10119" to="7604,10119" stroked="true" strokeweight="0pt" strokecolor="#dcdcdc">
              <v:stroke dashstyle="solid"/>
            </v:line>
            <v:rect style="position:absolute;left:7615;top:10107;width:3675;height:23" id="docshape51" filled="true" fillcolor="#dcdcdc" stroked="false">
              <v:fill type="solid"/>
            </v:rect>
            <v:line style="position:absolute" from="7626,10119" to="11278,10119" stroked="true" strokeweight="0pt" strokecolor="#dcdcdc">
              <v:stroke dashstyle="solid"/>
            </v:line>
            <v:shape style="position:absolute;left:62;top:10130;width:11783;height:256" id="docshape52" coordorigin="62,10130" coordsize="11783,256" path="m11845,10130l11289,10130,7615,10130,2897,10130,62,10130,62,10385,2897,10385,7615,10385,11289,10385,11845,10385,11845,10130xe" filled="true" fillcolor="#f4f4f4" stroked="false">
              <v:path arrowok="t"/>
              <v:fill type="solid"/>
            </v:shape>
            <v:rect style="position:absolute;left:2897;top:10362;width:4718;height:23" id="docshape53" filled="true" fillcolor="#dcdcdc" stroked="false">
              <v:fill type="solid"/>
            </v:rect>
            <v:line style="position:absolute" from="2909,10374" to="7604,10374" stroked="true" strokeweight="0pt" strokecolor="#dcdcdc">
              <v:stroke dashstyle="solid"/>
            </v:line>
            <v:rect style="position:absolute;left:7615;top:10362;width:3675;height:23" id="docshape54" filled="true" fillcolor="#dcdcdc" stroked="false">
              <v:fill type="solid"/>
            </v:rect>
            <v:line style="position:absolute" from="7626,10374" to="11278,10374" stroked="true" strokeweight="0pt" strokecolor="#dcdcdc">
              <v:stroke dashstyle="solid"/>
            </v:line>
            <v:shape style="position:absolute;left:62;top:10385;width:11783;height:539" id="docshape55" coordorigin="62,10385" coordsize="11783,539" path="m11845,10385l11289,10385,7615,10385,2897,10385,62,10385,62,10924,2897,10924,7615,10924,11289,10924,11845,10924,11845,10385xe" filled="true" fillcolor="#f4f4f4" stroked="false">
              <v:path arrowok="t"/>
              <v:fill type="solid"/>
            </v:shape>
            <v:rect style="position:absolute;left:2897;top:10901;width:4718;height:23" id="docshape56" filled="true" fillcolor="#dcdcdc" stroked="false">
              <v:fill type="solid"/>
            </v:rect>
            <v:line style="position:absolute" from="2909,10913" to="7604,10913" stroked="true" strokeweight="0pt" strokecolor="#dcdcdc">
              <v:stroke dashstyle="solid"/>
            </v:line>
            <v:rect style="position:absolute;left:7615;top:10901;width:3675;height:23" id="docshape57" filled="true" fillcolor="#dcdcdc" stroked="false">
              <v:fill type="solid"/>
            </v:rect>
            <v:line style="position:absolute" from="7626,10913" to="11278,10913" stroked="true" strokeweight="0pt" strokecolor="#dcdcdc">
              <v:stroke dashstyle="solid"/>
            </v:line>
            <v:shape style="position:absolute;left:62;top:10923;width:11783;height:256" id="docshape58" coordorigin="62,10924" coordsize="11783,256" path="m11845,10924l11289,10924,7615,10924,2897,10924,62,10924,62,11179,2897,11179,7615,11179,11289,11179,11845,11179,11845,10924xe" filled="true" fillcolor="#f4f4f4" stroked="false">
              <v:path arrowok="t"/>
              <v:fill type="solid"/>
            </v:shape>
            <v:rect style="position:absolute;left:2897;top:11156;width:4718;height:23" id="docshape59" filled="true" fillcolor="#dcdcdc" stroked="false">
              <v:fill type="solid"/>
            </v:rect>
            <v:line style="position:absolute" from="2909,11168" to="7604,11168" stroked="true" strokeweight="0pt" strokecolor="#dcdcdc">
              <v:stroke dashstyle="solid"/>
            </v:line>
            <v:rect style="position:absolute;left:7615;top:11156;width:3675;height:23" id="docshape60" filled="true" fillcolor="#dcdcdc" stroked="false">
              <v:fill type="solid"/>
            </v:rect>
            <v:line style="position:absolute" from="7626,11168" to="11278,11168" stroked="true" strokeweight="0pt" strokecolor="#dcdcdc">
              <v:stroke dashstyle="solid"/>
            </v:line>
            <v:shape style="position:absolute;left:62;top:11179;width:11783;height:256" id="docshape61" coordorigin="62,11179" coordsize="11783,256" path="m11845,11179l11289,11179,7615,11179,2897,11179,62,11179,62,11434,2897,11434,7615,11434,11289,11434,11845,11434,11845,11179xe" filled="true" fillcolor="#f4f4f4" stroked="false">
              <v:path arrowok="t"/>
              <v:fill type="solid"/>
            </v:shape>
            <v:rect style="position:absolute;left:2897;top:11411;width:4718;height:23" id="docshape62" filled="true" fillcolor="#dcdcdc" stroked="false">
              <v:fill type="solid"/>
            </v:rect>
            <v:line style="position:absolute" from="2909,11423" to="7604,11423" stroked="true" strokeweight="0pt" strokecolor="#dcdcdc">
              <v:stroke dashstyle="solid"/>
            </v:line>
            <v:rect style="position:absolute;left:7615;top:11411;width:3675;height:23" id="docshape63" filled="true" fillcolor="#dcdcdc" stroked="false">
              <v:fill type="solid"/>
            </v:rect>
            <v:line style="position:absolute" from="7626,11423" to="11278,11423" stroked="true" strokeweight="0pt" strokecolor="#dcdcdc">
              <v:stroke dashstyle="solid"/>
            </v:line>
            <v:rect style="position:absolute;left:62;top:11434;width:11772;height:397" id="docshape64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37" w:lineRule="auto"/>
      </w:pPr>
      <w:r>
        <w:rPr>
          <w:color w:val="003C78"/>
        </w:rPr>
        <w:t>Ferrure pour portes en verre à roulement en haut jusqu’à 100 kg avec rail de roulement affleurant</w:t>
      </w:r>
      <w:r>
        <w:rPr>
          <w:color w:val="003C78"/>
          <w:spacing w:val="-13"/>
        </w:rPr>
        <w:t> </w:t>
      </w:r>
      <w:r>
        <w:rPr>
          <w:color w:val="003C78"/>
        </w:rPr>
        <w:t>avec</w:t>
      </w:r>
      <w:r>
        <w:rPr>
          <w:color w:val="003C78"/>
          <w:spacing w:val="-9"/>
        </w:rPr>
        <w:t> </w:t>
      </w:r>
      <w:r>
        <w:rPr>
          <w:color w:val="003C78"/>
        </w:rPr>
        <w:t>le</w:t>
      </w:r>
      <w:r>
        <w:rPr>
          <w:color w:val="003C78"/>
          <w:spacing w:val="-9"/>
        </w:rPr>
        <w:t> </w:t>
      </w:r>
      <w:r>
        <w:rPr>
          <w:color w:val="003C78"/>
        </w:rPr>
        <w:t>plafond.</w:t>
      </w:r>
      <w:r>
        <w:rPr>
          <w:color w:val="003C78"/>
          <w:spacing w:val="-12"/>
        </w:rPr>
        <w:t> </w:t>
      </w:r>
      <w:r>
        <w:rPr>
          <w:color w:val="003C78"/>
        </w:rPr>
        <w:t>En</w:t>
      </w:r>
      <w:r>
        <w:rPr>
          <w:color w:val="003C78"/>
          <w:spacing w:val="-8"/>
        </w:rPr>
        <w:t> </w:t>
      </w:r>
      <w:r>
        <w:rPr>
          <w:color w:val="003C78"/>
        </w:rPr>
        <w:t>option</w:t>
      </w:r>
      <w:r>
        <w:rPr>
          <w:color w:val="003C78"/>
          <w:spacing w:val="-8"/>
        </w:rPr>
        <w:t> </w:t>
      </w:r>
      <w:r>
        <w:rPr>
          <w:color w:val="003C78"/>
        </w:rPr>
        <w:t>avec</w:t>
      </w:r>
      <w:r>
        <w:rPr>
          <w:color w:val="003C78"/>
          <w:spacing w:val="-9"/>
        </w:rPr>
        <w:t> </w:t>
      </w:r>
      <w:r>
        <w:rPr>
          <w:color w:val="003C78"/>
        </w:rPr>
        <w:t>amortisseur.</w:t>
      </w:r>
      <w:r>
        <w:rPr>
          <w:color w:val="003C78"/>
          <w:spacing w:val="-6"/>
        </w:rPr>
        <w:t> </w:t>
      </w:r>
      <w:r>
        <w:rPr>
          <w:color w:val="003C78"/>
        </w:rPr>
        <w:t>Montage</w:t>
      </w:r>
      <w:r>
        <w:rPr>
          <w:color w:val="003C78"/>
          <w:spacing w:val="-9"/>
        </w:rPr>
        <w:t> </w:t>
      </w:r>
      <w:r>
        <w:rPr>
          <w:color w:val="003C78"/>
        </w:rPr>
        <w:t>mural</w:t>
      </w:r>
      <w:r>
        <w:rPr>
          <w:color w:val="003C78"/>
          <w:spacing w:val="-7"/>
        </w:rPr>
        <w:t> </w:t>
      </w:r>
      <w:r>
        <w:rPr>
          <w:color w:val="003C78"/>
        </w:rPr>
        <w:t>ou</w:t>
      </w:r>
      <w:r>
        <w:rPr>
          <w:color w:val="003C78"/>
          <w:spacing w:val="-8"/>
        </w:rPr>
        <w:t> </w:t>
      </w:r>
      <w:r>
        <w:rPr>
          <w:color w:val="003C78"/>
        </w:rPr>
        <w:t>au</w:t>
      </w:r>
      <w:r>
        <w:rPr>
          <w:color w:val="003C78"/>
          <w:spacing w:val="-8"/>
        </w:rPr>
        <w:t> </w:t>
      </w:r>
      <w:r>
        <w:rPr>
          <w:color w:val="003C78"/>
        </w:rPr>
        <w:t>plafond.</w:t>
      </w:r>
      <w:r>
        <w:rPr>
          <w:color w:val="003C78"/>
          <w:spacing w:val="-12"/>
        </w:rPr>
        <w:t> </w:t>
      </w:r>
      <w:r>
        <w:rPr>
          <w:color w:val="003C78"/>
        </w:rPr>
        <w:t>Hauteur d’installation minimale.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Ouverture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adaptée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aux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personnes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mobilité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réduite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et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amortissement</w:t>
      </w:r>
    </w:p>
    <w:p>
      <w:pPr>
        <w:pStyle w:val="BodyText"/>
        <w:spacing w:line="230" w:lineRule="exact"/>
        <w:ind w:left="4421"/>
      </w:pPr>
      <w:r>
        <w:rPr/>
        <w:t>des</w:t>
      </w:r>
      <w:r>
        <w:rPr>
          <w:spacing w:val="-6"/>
        </w:rPr>
        <w:t> </w:t>
      </w:r>
      <w:r>
        <w:rPr/>
        <w:t>deux</w:t>
      </w:r>
      <w:r>
        <w:rPr>
          <w:spacing w:val="-3"/>
        </w:rPr>
        <w:t> </w:t>
      </w:r>
      <w:r>
        <w:rPr/>
        <w:t>côtés</w:t>
      </w:r>
      <w:r>
        <w:rPr>
          <w:spacing w:val="-6"/>
        </w:rPr>
        <w:t> </w:t>
      </w:r>
      <w:r>
        <w:rPr/>
        <w:t>à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largeurs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800</w:t>
      </w:r>
      <w:r>
        <w:rPr>
          <w:spacing w:val="-6"/>
        </w:rPr>
        <w:t> </w:t>
      </w:r>
      <w:r>
        <w:rPr>
          <w:spacing w:val="-5"/>
        </w:rPr>
        <w:t>mm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890" w:hanging="1418"/>
      </w:pPr>
      <w:r>
        <w:rPr>
          <w:b/>
          <w:spacing w:val="-2"/>
        </w:rPr>
        <w:t>Flexibilité</w:t>
      </w:r>
      <w:r>
        <w:rPr>
          <w:b/>
        </w:rPr>
        <w:tab/>
      </w:r>
      <w:r>
        <w:rPr>
          <w:position w:val="1"/>
        </w:rPr>
        <w:t>Rails</w:t>
      </w:r>
      <w:r>
        <w:rPr>
          <w:spacing w:val="-1"/>
          <w:position w:val="1"/>
        </w:rPr>
        <w:t> </w:t>
      </w:r>
      <w:r>
        <w:rPr>
          <w:position w:val="1"/>
        </w:rPr>
        <w:t>de</w:t>
      </w:r>
      <w:r>
        <w:rPr>
          <w:spacing w:val="-8"/>
          <w:position w:val="1"/>
        </w:rPr>
        <w:t> </w:t>
      </w:r>
      <w:r>
        <w:rPr>
          <w:position w:val="1"/>
        </w:rPr>
        <w:t>roulement</w:t>
      </w:r>
      <w:r>
        <w:rPr>
          <w:spacing w:val="-4"/>
          <w:position w:val="1"/>
        </w:rPr>
        <w:t> </w:t>
      </w:r>
      <w:r>
        <w:rPr>
          <w:position w:val="1"/>
        </w:rPr>
        <w:t>pour</w:t>
      </w:r>
      <w:r>
        <w:rPr>
          <w:spacing w:val="-7"/>
          <w:position w:val="1"/>
        </w:rPr>
        <w:t> </w:t>
      </w:r>
      <w:r>
        <w:rPr>
          <w:position w:val="1"/>
        </w:rPr>
        <w:t>montage</w:t>
      </w:r>
      <w:r>
        <w:rPr>
          <w:spacing w:val="-2"/>
          <w:position w:val="1"/>
        </w:rPr>
        <w:t> </w:t>
      </w:r>
      <w:r>
        <w:rPr>
          <w:position w:val="1"/>
        </w:rPr>
        <w:t>sur</w:t>
      </w:r>
      <w:r>
        <w:rPr>
          <w:spacing w:val="-1"/>
          <w:position w:val="1"/>
        </w:rPr>
        <w:t> </w:t>
      </w:r>
      <w:r>
        <w:rPr>
          <w:position w:val="1"/>
        </w:rPr>
        <w:t>paroi</w:t>
      </w:r>
      <w:r>
        <w:rPr>
          <w:spacing w:val="-8"/>
          <w:position w:val="1"/>
        </w:rPr>
        <w:t> </w:t>
      </w:r>
      <w:r>
        <w:rPr>
          <w:position w:val="1"/>
        </w:rPr>
        <w:t>ou</w:t>
      </w:r>
      <w:r>
        <w:rPr>
          <w:spacing w:val="-6"/>
          <w:position w:val="1"/>
        </w:rPr>
        <w:t> </w:t>
      </w:r>
      <w:r>
        <w:rPr>
          <w:position w:val="1"/>
        </w:rPr>
        <w:t>sur</w:t>
      </w:r>
      <w:r>
        <w:rPr>
          <w:spacing w:val="-1"/>
          <w:position w:val="1"/>
        </w:rPr>
        <w:t> </w:t>
      </w:r>
      <w:r>
        <w:rPr>
          <w:position w:val="1"/>
        </w:rPr>
        <w:t>plafond</w:t>
      </w:r>
      <w:r>
        <w:rPr>
          <w:spacing w:val="-8"/>
          <w:position w:val="1"/>
        </w:rPr>
        <w:t> </w:t>
      </w:r>
      <w:r>
        <w:rPr>
          <w:position w:val="1"/>
        </w:rPr>
        <w:t>avec </w:t>
      </w:r>
      <w:r>
        <w:rPr/>
        <w:t>système de clip intégré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5" w:lineRule="auto" w:before="51"/>
        <w:ind w:left="4421" w:right="188" w:hanging="1418"/>
      </w:pPr>
      <w:r>
        <w:rPr>
          <w:b/>
          <w:spacing w:val="-2"/>
        </w:rPr>
        <w:t>Sécurité</w:t>
      </w:r>
      <w:r>
        <w:rPr>
          <w:b/>
        </w:rPr>
        <w:tab/>
      </w:r>
      <w:r>
        <w:rPr>
          <w:position w:val="1"/>
        </w:rPr>
        <w:t>Garantie</w:t>
      </w:r>
      <w:r>
        <w:rPr>
          <w:spacing w:val="-6"/>
          <w:position w:val="1"/>
        </w:rPr>
        <w:t> </w:t>
      </w:r>
      <w:r>
        <w:rPr>
          <w:position w:val="1"/>
        </w:rPr>
        <w:t>de performance :</w:t>
      </w:r>
      <w:r>
        <w:rPr>
          <w:spacing w:val="-6"/>
          <w:position w:val="1"/>
        </w:rPr>
        <w:t> </w:t>
      </w:r>
      <w:r>
        <w:rPr>
          <w:position w:val="1"/>
        </w:rPr>
        <w:t>15</w:t>
      </w:r>
      <w:r>
        <w:rPr>
          <w:spacing w:val="-4"/>
          <w:position w:val="1"/>
        </w:rPr>
        <w:t> </w:t>
      </w:r>
      <w:r>
        <w:rPr>
          <w:position w:val="1"/>
        </w:rPr>
        <w:t>ans</w:t>
      </w:r>
      <w:r>
        <w:rPr>
          <w:spacing w:val="-4"/>
          <w:position w:val="1"/>
        </w:rPr>
        <w:t> </w:t>
      </w:r>
      <w:r>
        <w:rPr>
          <w:position w:val="1"/>
        </w:rPr>
        <w:t>pour</w:t>
      </w:r>
      <w:r>
        <w:rPr>
          <w:spacing w:val="-5"/>
          <w:position w:val="1"/>
        </w:rPr>
        <w:t> </w:t>
      </w:r>
      <w:r>
        <w:rPr>
          <w:position w:val="1"/>
        </w:rPr>
        <w:t>un</w:t>
      </w:r>
      <w:r>
        <w:rPr>
          <w:spacing w:val="-4"/>
          <w:position w:val="1"/>
        </w:rPr>
        <w:t> </w:t>
      </w:r>
      <w:r>
        <w:rPr>
          <w:position w:val="1"/>
        </w:rPr>
        <w:t>usage privé et</w:t>
      </w:r>
      <w:r>
        <w:rPr>
          <w:spacing w:val="-2"/>
          <w:position w:val="1"/>
        </w:rPr>
        <w:t> </w:t>
      </w:r>
      <w:r>
        <w:rPr>
          <w:position w:val="1"/>
        </w:rPr>
        <w:t>7</w:t>
      </w:r>
      <w:r>
        <w:rPr>
          <w:spacing w:val="-4"/>
          <w:position w:val="1"/>
        </w:rPr>
        <w:t> </w:t>
      </w:r>
      <w:r>
        <w:rPr>
          <w:position w:val="1"/>
        </w:rPr>
        <w:t>ans</w:t>
      </w:r>
      <w:r>
        <w:rPr>
          <w:spacing w:val="-4"/>
          <w:position w:val="1"/>
        </w:rPr>
        <w:t> </w:t>
      </w:r>
      <w:r>
        <w:rPr>
          <w:position w:val="1"/>
        </w:rPr>
        <w:t>pour</w:t>
      </w:r>
      <w:r>
        <w:rPr>
          <w:spacing w:val="-5"/>
          <w:position w:val="1"/>
        </w:rPr>
        <w:t> </w:t>
      </w:r>
      <w:r>
        <w:rPr>
          <w:position w:val="1"/>
        </w:rPr>
        <w:t>un </w:t>
      </w:r>
      <w:r>
        <w:rPr/>
        <w:t>usage commercial avec des forces d'ouverture extrêmement faibles, de 22 N maximum.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8–12.7</w:t>
      </w:r>
      <w:r>
        <w:rPr>
          <w:spacing w:val="-10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4000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Largeur de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3000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4"/>
        </w:rPr>
        <w:t> </w:t>
      </w:r>
      <w:r>
        <w:rPr/>
        <w:t>max.</w:t>
      </w:r>
      <w:r>
        <w:rPr>
          <w:spacing w:val="-4"/>
        </w:rPr>
        <w:t> </w:t>
      </w:r>
      <w:r>
        <w:rPr>
          <w:spacing w:val="-2"/>
        </w:rPr>
        <w:t>d`ouverture</w:t>
      </w:r>
      <w:r>
        <w:rPr/>
        <w:tab/>
        <w:t>2950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5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773"/>
      </w:pPr>
      <w:r>
        <w:rPr/>
        <w:t>Force d'ouverture garantie avec amortissement*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/>
        <w:t>N</w:t>
      </w:r>
      <w:r>
        <w:rPr>
          <w:spacing w:val="-12"/>
        </w:rPr>
        <w:t> </w:t>
      </w:r>
      <w:r>
        <w:rPr/>
        <w:t>(accessible) Matérielle de porte</w:t>
        <w:tab/>
      </w:r>
      <w:r>
        <w:rPr>
          <w:spacing w:val="-2"/>
        </w:rPr>
        <w:t>Verre</w:t>
      </w:r>
    </w:p>
    <w:p>
      <w:pPr>
        <w:pStyle w:val="BodyText"/>
        <w:tabs>
          <w:tab w:pos="7154" w:val="left" w:leader="none"/>
        </w:tabs>
        <w:spacing w:line="308" w:lineRule="exact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</w:r>
      <w:r>
        <w:rPr>
          <w:position w:val="13"/>
        </w:rPr>
        <w:t>A</w:t>
      </w:r>
      <w:r>
        <w:rPr>
          <w:position w:val="12"/>
        </w:rPr>
        <w:t>luminium</w:t>
      </w:r>
      <w:r>
        <w:rPr>
          <w:spacing w:val="-7"/>
          <w:position w:val="12"/>
        </w:rPr>
        <w:t> </w:t>
      </w:r>
      <w:r>
        <w:rPr>
          <w:position w:val="12"/>
        </w:rPr>
        <w:t>anodisé</w:t>
      </w:r>
      <w:r>
        <w:rPr>
          <w:spacing w:val="-6"/>
          <w:position w:val="12"/>
        </w:rPr>
        <w:t> </w:t>
      </w:r>
      <w:r>
        <w:rPr>
          <w:position w:val="12"/>
        </w:rPr>
        <w:t>/</w:t>
      </w:r>
      <w:r>
        <w:rPr>
          <w:spacing w:val="-10"/>
          <w:position w:val="12"/>
        </w:rPr>
        <w:t> </w:t>
      </w:r>
      <w:r>
        <w:rPr>
          <w:position w:val="12"/>
        </w:rPr>
        <w:t>aluminium</w:t>
      </w:r>
      <w:r>
        <w:rPr>
          <w:spacing w:val="-11"/>
          <w:position w:val="12"/>
        </w:rPr>
        <w:t> </w:t>
      </w:r>
      <w:r>
        <w:rPr>
          <w:spacing w:val="-2"/>
          <w:position w:val="12"/>
        </w:rPr>
        <w:t>d’aspect</w:t>
      </w:r>
    </w:p>
    <w:p>
      <w:pPr>
        <w:pStyle w:val="BodyText"/>
        <w:spacing w:line="182" w:lineRule="exact"/>
        <w:ind w:left="7154"/>
      </w:pPr>
      <w:r>
        <w:rPr>
          <w:spacing w:val="-4"/>
        </w:rPr>
        <w:t>inox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3"/>
        <w:ind w:left="0" w:right="3487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8"/>
          <w:position w:val="1"/>
          <w:sz w:val="20"/>
        </w:rPr>
        <w:t> </w:t>
      </w:r>
      <w:r>
        <w:rPr>
          <w:spacing w:val="-4"/>
          <w:position w:val="1"/>
          <w:sz w:val="20"/>
        </w:rPr>
        <w:t>mural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487"/>
        <w:jc w:val="right"/>
      </w:pPr>
      <w:r>
        <w:rPr/>
        <w:t>Montage</w:t>
      </w:r>
      <w:r>
        <w:rPr>
          <w:spacing w:val="-7"/>
        </w:rPr>
        <w:t> </w:t>
      </w:r>
      <w:r>
        <w:rPr/>
        <w:t>au</w:t>
      </w:r>
      <w:r>
        <w:rPr>
          <w:spacing w:val="1"/>
        </w:rPr>
        <w:t> </w:t>
      </w:r>
      <w:r>
        <w:rPr>
          <w:spacing w:val="-2"/>
        </w:rPr>
        <w:t>plafond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487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487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042" w:val="left" w:leader="none"/>
        </w:tabs>
        <w:spacing w:before="54"/>
        <w:ind w:left="0" w:right="3487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487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1"/>
        <w:ind w:right="3487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tabs>
          <w:tab w:pos="2461" w:val="left" w:leader="none"/>
        </w:tabs>
        <w:spacing w:line="247" w:lineRule="auto" w:before="43"/>
        <w:ind w:left="2461" w:right="91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20"/>
      </w:pPr>
      <w:r>
        <w:rPr/>
        <w:t>*voir</w:t>
      </w:r>
      <w:r>
        <w:rPr>
          <w:spacing w:val="-1"/>
        </w:rPr>
        <w:t> </w:t>
      </w:r>
      <w:r>
        <w:rPr>
          <w:spacing w:val="-2"/>
        </w:rPr>
        <w:t>garantie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20" w:bottom="1300" w:left="460" w:right="500"/>
          <w:pgNumType w:start="1"/>
        </w:sectPr>
      </w:pPr>
    </w:p>
    <w:p>
      <w:pPr>
        <w:pStyle w:val="Heading1"/>
        <w:spacing w:before="70"/>
      </w:pP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produit</w:t>
      </w:r>
    </w:p>
    <w:p>
      <w:pPr>
        <w:pStyle w:val="BodyText"/>
        <w:spacing w:before="89"/>
        <w:ind w:left="112"/>
      </w:pPr>
      <w:r>
        <w:rPr/>
        <w:br w:type="column"/>
      </w:r>
      <w:r>
        <w:rPr/>
        <w:t>Garantie de performance pour tous les modèles officiels Hawa Junior 100 avec système de fermeture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douceur</w:t>
      </w:r>
      <w:r>
        <w:rPr>
          <w:spacing w:val="-5"/>
        </w:rPr>
        <w:t> </w:t>
      </w:r>
      <w:r>
        <w:rPr/>
        <w:t>magnétique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Force</w:t>
      </w:r>
      <w:r>
        <w:rPr>
          <w:spacing w:val="-5"/>
        </w:rPr>
        <w:t> </w:t>
      </w:r>
      <w:r>
        <w:rPr/>
        <w:t>d'ouverture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porte</w:t>
      </w:r>
      <w:r>
        <w:rPr>
          <w:spacing w:val="-5"/>
        </w:rPr>
        <w:t> </w:t>
      </w:r>
      <w:r>
        <w:rPr/>
        <w:t>coulissante</w:t>
      </w:r>
      <w:r>
        <w:rPr>
          <w:spacing w:val="-5"/>
        </w:rPr>
        <w:t> </w:t>
      </w:r>
      <w:r>
        <w:rPr/>
        <w:t>garantie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N maximum pendant 15 ans en usage privé et 7 ans en usage commercial.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/>
      </w:pPr>
      <w:r>
        <w:rPr/>
        <w:t>La garantie de performance est valable dans le monde entier, à l'exception des partenaires contractuels</w:t>
      </w:r>
      <w:r>
        <w:rPr>
          <w:spacing w:val="-6"/>
        </w:rPr>
        <w:t> </w:t>
      </w:r>
      <w:r>
        <w:rPr/>
        <w:t>ayant</w:t>
      </w:r>
      <w:r>
        <w:rPr>
          <w:spacing w:val="-6"/>
        </w:rPr>
        <w:t> </w:t>
      </w:r>
      <w:r>
        <w:rPr/>
        <w:t>leur</w:t>
      </w:r>
      <w:r>
        <w:rPr>
          <w:spacing w:val="-6"/>
        </w:rPr>
        <w:t> </w:t>
      </w:r>
      <w:r>
        <w:rPr/>
        <w:t>siège/résidence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États-Unis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l'utilisation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produits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des clients finaux ayant leur siège/résidence aux États-Unis.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351"/>
      </w:pPr>
      <w:r>
        <w:rPr/>
        <w:t>Garantie</w:t>
      </w:r>
      <w:r>
        <w:rPr>
          <w:spacing w:val="-7"/>
        </w:rPr>
        <w:t> </w:t>
      </w:r>
      <w:r>
        <w:rPr/>
        <w:t>fonctionnelle</w:t>
      </w:r>
      <w:r>
        <w:rPr>
          <w:spacing w:val="-7"/>
        </w:rPr>
        <w:t> </w:t>
      </w:r>
      <w:r>
        <w:rPr/>
        <w:t>supplémentaire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/>
        <w:t>toutes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pièces,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l'exception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pièces d'usure : 2 ans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12"/>
      </w:pP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5"/>
        </w:rPr>
        <w:t> </w:t>
      </w:r>
      <w:r>
        <w:rPr/>
        <w:t>100</w:t>
      </w:r>
      <w:r>
        <w:rPr>
          <w:spacing w:val="-5"/>
        </w:rPr>
        <w:t> </w:t>
      </w:r>
      <w:r>
        <w:rPr/>
        <w:t>GP</w:t>
      </w:r>
      <w:r>
        <w:rPr>
          <w:spacing w:val="-5"/>
        </w:rPr>
        <w:t> </w:t>
      </w:r>
      <w:r>
        <w:rPr/>
        <w:t>composé</w:t>
      </w:r>
      <w:r>
        <w:rPr>
          <w:spacing w:val="-5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(épaisseur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paroi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aluminium</w:t>
      </w:r>
      <w:r>
        <w:rPr>
          <w:spacing w:val="-5"/>
        </w:rPr>
        <w:t> </w:t>
      </w:r>
      <w:r>
        <w:rPr/>
        <w:t>2,9 mm), chariots à palier, butée, butée à ressort ou amortisseur SoftMove 100, suspension du verre avec fixation par points,</w:t>
      </w:r>
      <w:r>
        <w:rPr>
          <w:spacing w:val="40"/>
        </w:rPr>
        <w:t> </w:t>
      </w:r>
      <w:r>
        <w:rPr/>
        <w:t>guidage au sol sans jeu.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0" w:lineRule="exact"/>
        <w:ind w:left="112"/>
      </w:pPr>
      <w:r>
        <w:rPr/>
        <w:t>En</w:t>
      </w:r>
      <w:r>
        <w:rPr>
          <w:spacing w:val="1"/>
        </w:rPr>
        <w:t> </w:t>
      </w:r>
      <w:r>
        <w:rPr/>
        <w:t>option</w:t>
      </w:r>
      <w:r>
        <w:rPr>
          <w:spacing w:val="4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385" w:val="left" w:leader="dot"/>
        </w:tabs>
        <w:spacing w:line="229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385" w:val="left" w:leader="dot"/>
        </w:tabs>
        <w:spacing w:line="232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vitrage</w:t>
      </w:r>
      <w:r>
        <w:rPr>
          <w:spacing w:val="-4"/>
        </w:rPr>
        <w:t> fixe</w:t>
      </w:r>
    </w:p>
    <w:p>
      <w:pPr>
        <w:pStyle w:val="BodyText"/>
        <w:tabs>
          <w:tab w:pos="385" w:val="left" w:leader="dot"/>
        </w:tabs>
        <w:spacing w:line="232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Système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bétonner</w:t>
      </w:r>
      <w:r>
        <w:rPr>
          <w:spacing w:val="-5"/>
        </w:rPr>
        <w:t> </w:t>
      </w:r>
      <w:r>
        <w:rPr/>
        <w:t>Hawa</w:t>
      </w:r>
      <w:r>
        <w:rPr>
          <w:spacing w:val="-5"/>
        </w:rPr>
        <w:t> </w:t>
      </w:r>
      <w:r>
        <w:rPr/>
        <w:t>Adapto</w:t>
      </w:r>
      <w:r>
        <w:rPr>
          <w:spacing w:val="-5"/>
        </w:rPr>
        <w:t> 80</w:t>
      </w:r>
    </w:p>
    <w:p>
      <w:pPr>
        <w:pStyle w:val="BodyText"/>
        <w:tabs>
          <w:tab w:pos="385" w:val="left" w:leader="dot"/>
        </w:tabs>
        <w:spacing w:line="232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</w:t>
      </w:r>
    </w:p>
    <w:p>
      <w:pPr>
        <w:spacing w:after="0" w:line="232" w:lineRule="exact"/>
        <w:sectPr>
          <w:pgSz w:w="11910" w:h="16840"/>
          <w:pgMar w:header="401" w:footer="1105" w:top="1920" w:bottom="1300" w:left="460" w:right="500"/>
          <w:cols w:num="2" w:equalWidth="0">
            <w:col w:w="1901" w:space="445"/>
            <w:col w:w="8604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tabs>
          <w:tab w:pos="2461" w:val="left" w:leader="none"/>
        </w:tabs>
        <w:spacing w:line="247" w:lineRule="exact" w:before="89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1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-10"/>
          <w:sz w:val="20"/>
        </w:rPr>
        <w:t> </w:t>
      </w:r>
      <w:r>
        <w:rPr>
          <w:sz w:val="20"/>
        </w:rPr>
        <w:t>glass</w:t>
      </w:r>
      <w:r>
        <w:rPr>
          <w:spacing w:val="-8"/>
          <w:sz w:val="20"/>
        </w:rPr>
        <w:t> </w:t>
      </w:r>
      <w:r>
        <w:rPr>
          <w:sz w:val="20"/>
        </w:rPr>
        <w:t>fixing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point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fixing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37" w:lineRule="exact"/>
        <w:ind w:left="2459"/>
      </w:pPr>
      <w:r>
        <w:rPr/>
        <w:t>Système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bétonner</w:t>
      </w:r>
      <w:r>
        <w:rPr>
          <w:spacing w:val="-7"/>
        </w:rPr>
        <w:t> </w:t>
      </w:r>
      <w:r>
        <w:rPr/>
        <w:t>Hawa</w:t>
      </w:r>
      <w:r>
        <w:rPr>
          <w:spacing w:val="-7"/>
        </w:rPr>
        <w:t> </w:t>
      </w:r>
      <w:r>
        <w:rPr>
          <w:spacing w:val="-2"/>
        </w:rPr>
        <w:t>Adapto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25" w:right="1114" w:hanging="167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système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bétonner</w:t>
      </w:r>
      <w:r>
        <w:rPr>
          <w:spacing w:val="-5"/>
          <w:sz w:val="20"/>
        </w:rPr>
        <w:t> </w:t>
      </w:r>
      <w:r>
        <w:rPr>
          <w:sz w:val="20"/>
        </w:rPr>
        <w:t>Hawa</w:t>
      </w:r>
      <w:r>
        <w:rPr>
          <w:spacing w:val="-5"/>
          <w:sz w:val="20"/>
        </w:rPr>
        <w:t> </w:t>
      </w:r>
      <w:r>
        <w:rPr>
          <w:sz w:val="20"/>
        </w:rPr>
        <w:t>Adapto</w:t>
      </w:r>
      <w:r>
        <w:rPr>
          <w:spacing w:val="-5"/>
          <w:sz w:val="20"/>
        </w:rPr>
        <w:t> </w:t>
      </w:r>
      <w:r>
        <w:rPr>
          <w:sz w:val="20"/>
        </w:rPr>
        <w:t>80</w:t>
      </w:r>
      <w:r>
        <w:rPr>
          <w:spacing w:val="-5"/>
          <w:sz w:val="20"/>
        </w:rPr>
        <w:t> </w:t>
      </w:r>
      <w:r>
        <w:rPr>
          <w:sz w:val="20"/>
        </w:rPr>
        <w:t>est</w:t>
      </w:r>
      <w:r>
        <w:rPr>
          <w:spacing w:val="-5"/>
          <w:sz w:val="20"/>
        </w:rPr>
        <w:t> </w:t>
      </w:r>
      <w:r>
        <w:rPr>
          <w:sz w:val="20"/>
        </w:rPr>
        <w:t>intégré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plafond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béton</w:t>
      </w:r>
      <w:r>
        <w:rPr>
          <w:spacing w:val="-5"/>
          <w:sz w:val="20"/>
        </w:rPr>
        <w:t> </w:t>
      </w:r>
      <w:r>
        <w:rPr>
          <w:sz w:val="20"/>
        </w:rPr>
        <w:t>dès la réalisation du gros oeuvre</w:t>
      </w:r>
    </w:p>
    <w:sectPr>
      <w:type w:val="continuous"/>
      <w:pgSz w:w="11910" w:h="16840"/>
      <w:pgMar w:header="401" w:footer="1105" w:top="192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453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448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95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0080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04102pt;margin-top:68.660194pt;width:41.75pt;height:13.95pt;mso-position-horizontal-relative:page;mso-position-vertical-relative:page;z-index:-158458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3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4" w:hanging="1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69" w:hanging="1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04" w:hanging="1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9" w:hanging="1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9" w:hanging="1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44" w:hanging="1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79" w:hanging="13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7"/>
      </w:pPr>
      <w:rPr>
        <w:rFonts w:hint="default" w:ascii="HelveticaNeueLT Std" w:hAnsi="HelveticaNeueLT Std" w:eastAsia="HelveticaNeueLT Std" w:cs="HelveticaNeueLT Std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1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17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0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3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2023-03-07T08:07:45Z</dcterms:created>
  <dcterms:modified xsi:type="dcterms:W3CDTF">2023-03-07T08:07:45Z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