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00"/>
          <w:pgNumType w:start="1"/>
        </w:sectPr>
      </w:pPr>
    </w:p>
    <w:p>
      <w:pPr>
        <w:pStyle w:val="BodyText"/>
        <w:spacing w:before="10"/>
        <w:rPr>
          <w:rFonts w:ascii="Times New Roman"/>
          <w:sz w:val="19"/>
        </w:rPr>
      </w:pPr>
      <w:r>
        <w:rPr/>
        <w:pict>
          <v:group style="position:absolute;margin-left:3.118575pt;margin-top:99.139702pt;width:589.15pt;height:359.2pt;mso-position-horizontal-relative:page;mso-position-vertical-relative:page;z-index:15728640" id="docshapegroup4" coordorigin="62,1983" coordsize="11783,718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12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5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6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8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9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id="docshape20" coordorigin="62,5651" coordsize="11783,256" path="m11845,5651l11289,5651,7615,5651,2897,5651,62,5651,62,5906,2897,5906,7615,5906,11289,5906,11845,5906,11845,5651xe" filled="true" fillcolor="#f4f4f4" stroked="false">
              <v:path arrowok="t"/>
              <v:fill type="solid"/>
            </v:shape>
            <v:rect style="position:absolute;left:2897;top:5883;width:4718;height:23" id="docshape21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id="docshape22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id="docshape23" coordorigin="62,5906" coordsize="11783,256" path="m11845,5906l11289,5906,7615,5906,2897,5906,62,5906,62,6161,2897,6161,7615,6161,11289,6161,11845,6161,11845,5906xe" filled="true" fillcolor="#f4f4f4" stroked="false">
              <v:path arrowok="t"/>
              <v:fill type="solid"/>
            </v:shape>
            <v:rect style="position:absolute;left:2897;top:6138;width:4718;height:23" id="docshape24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id="docshape25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id="docshape26" coordorigin="62,6161" coordsize="11783,256" path="m11845,6161l11289,6161,7615,6161,2897,6161,62,6161,62,6416,2897,6416,7615,6416,11289,6416,11845,6416,11845,6161xe" filled="true" fillcolor="#f4f4f4" stroked="false">
              <v:path arrowok="t"/>
              <v:fill type="solid"/>
            </v:shape>
            <v:rect style="position:absolute;left:2897;top:6393;width:4718;height:23" id="docshape27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8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9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30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31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32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3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34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id="docshape35" coordorigin="62,6927" coordsize="11783,539" path="m11845,6927l11289,6927,7615,6927,2897,6927,62,6927,62,7465,2897,7465,7615,7465,11289,7465,11845,7465,11845,6927xe" filled="true" fillcolor="#f4f4f4" stroked="false">
              <v:path arrowok="t"/>
              <v:fill type="solid"/>
            </v:shape>
            <v:rect style="position:absolute;left:2897;top:7442;width:4718;height:23" id="docshape36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id="docshape37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id="docshape38" coordorigin="62,7465" coordsize="11783,256" path="m11845,7465l11289,7465,7615,7465,2897,7465,62,7465,62,7721,2897,7721,7615,7721,11289,7721,11845,7721,11845,7465xe" filled="true" fillcolor="#f4f4f4" stroked="false">
              <v:path arrowok="t"/>
              <v:fill type="solid"/>
            </v:shape>
            <v:rect style="position:absolute;left:2897;top:7697;width:4718;height:23" id="docshape39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id="docshape40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id="docshape41" coordorigin="62,7721" coordsize="11783,539" path="m11845,7721l11289,7721,7615,7721,2897,7721,62,7721,62,8259,2897,8259,7615,8259,11289,8259,11845,8259,11845,7721xe" filled="true" fillcolor="#f4f4f4" stroked="false">
              <v:path arrowok="t"/>
              <v:fill type="solid"/>
            </v:shape>
            <v:rect style="position:absolute;left:2897;top:8236;width:4718;height:23" id="docshape42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id="docshape4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id="docshape44" coordorigin="62,8259" coordsize="11783,256" path="m11845,8259l11289,8259,7615,8259,2897,8259,62,8259,62,8514,2897,8514,7615,8514,11289,8514,11845,8514,11845,8259xe" filled="true" fillcolor="#f4f4f4" stroked="false">
              <v:path arrowok="t"/>
              <v:fill type="solid"/>
            </v:shape>
            <v:rect style="position:absolute;left:2897;top:8491;width:4718;height:23" id="docshape45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id="docshape46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id="docshape47" coordorigin="62,8514" coordsize="11783,256" path="m11845,8514l11289,8514,7615,8514,2897,8514,62,8514,62,8769,2897,8769,7615,8769,11289,8769,11845,8769,11845,8514xe" filled="true" fillcolor="#f4f4f4" stroked="false">
              <v:path arrowok="t"/>
              <v:fill type="solid"/>
            </v:shape>
            <v:rect style="position:absolute;left:2897;top:8746;width:4718;height:23" id="docshape48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id="docshape49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rect style="position:absolute;left:62;top:8769;width:11772;height:397" id="docshape50" filled="true" fillcolor="#f4f4f4" stroked="false">
              <v:fill type="solid"/>
            </v:rect>
            <v:shape style="position:absolute;left:572;top:2243;width:10124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6337;height:432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Paliers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lisses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durables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qualité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silencieux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facile,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 des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poids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plus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élevés</w:t>
                    </w:r>
                  </w:p>
                </w:txbxContent>
              </v:textbox>
              <w10:wrap type="none"/>
            </v:shape>
            <v:shape style="position:absolute;left:3464;top:4256;width:917;height:199" type="#_x0000_t202" id="docshape55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250;width:4543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Crochet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suspension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acier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visser ou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souder</w:t>
                    </w:r>
                  </w:p>
                </w:txbxContent>
              </v:textbox>
              <w10:wrap type="none"/>
            </v:shape>
            <v:shape style="position:absolute;left:572;top:4931;width:4612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931;width:955;height:1985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267;width:1886;height:199" type="#_x0000_t202" id="docshape59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55;width:1818;height:454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255;width:325;height:454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049;width:5927;height:710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049;width:325;height:710" type="#_x0000_t202" id="docshape6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</w:pP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1"/>
        <w:ind w:left="116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12" w:right="0" w:firstLine="0"/>
        <w:jc w:val="left"/>
        <w:rPr>
          <w:sz w:val="19"/>
        </w:rPr>
      </w:pPr>
      <w:r>
        <w:rPr>
          <w:sz w:val="19"/>
        </w:rPr>
        <w:t>Serrures</w:t>
      </w:r>
      <w:r>
        <w:rPr>
          <w:spacing w:val="-11"/>
          <w:sz w:val="19"/>
        </w:rPr>
        <w:t> </w:t>
      </w:r>
      <w:r>
        <w:rPr>
          <w:sz w:val="19"/>
        </w:rPr>
        <w:t>et</w:t>
      </w:r>
      <w:r>
        <w:rPr>
          <w:spacing w:val="-11"/>
          <w:sz w:val="19"/>
        </w:rPr>
        <w:t> </w:t>
      </w:r>
      <w:r>
        <w:rPr>
          <w:sz w:val="19"/>
        </w:rPr>
        <w:t>ferrures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bâtiment</w:t>
      </w:r>
      <w:r>
        <w:rPr>
          <w:spacing w:val="-11"/>
          <w:sz w:val="19"/>
        </w:rPr>
        <w:t> </w:t>
      </w:r>
      <w:r>
        <w:rPr>
          <w:sz w:val="19"/>
        </w:rPr>
        <w:t>–</w:t>
      </w:r>
      <w:r>
        <w:rPr>
          <w:spacing w:val="-11"/>
          <w:sz w:val="19"/>
        </w:rPr>
        <w:t> </w:t>
      </w:r>
      <w:r>
        <w:rPr>
          <w:sz w:val="19"/>
        </w:rPr>
        <w:t>Ferrures</w:t>
      </w:r>
      <w:r>
        <w:rPr>
          <w:spacing w:val="-11"/>
          <w:sz w:val="19"/>
        </w:rPr>
        <w:t> </w:t>
      </w:r>
      <w:r>
        <w:rPr>
          <w:sz w:val="19"/>
        </w:rPr>
        <w:t>pour</w:t>
      </w:r>
      <w:r>
        <w:rPr>
          <w:spacing w:val="-10"/>
          <w:sz w:val="19"/>
        </w:rPr>
        <w:t> </w:t>
      </w:r>
      <w:r>
        <w:rPr>
          <w:sz w:val="19"/>
        </w:rPr>
        <w:t>portes</w:t>
      </w:r>
      <w:r>
        <w:rPr>
          <w:spacing w:val="-11"/>
          <w:sz w:val="19"/>
        </w:rPr>
        <w:t> </w:t>
      </w:r>
      <w:r>
        <w:rPr>
          <w:sz w:val="19"/>
        </w:rPr>
        <w:t>coulissantes</w:t>
      </w:r>
      <w:r>
        <w:rPr>
          <w:spacing w:val="-11"/>
          <w:sz w:val="19"/>
        </w:rPr>
        <w:t> </w:t>
      </w:r>
      <w:r>
        <w:rPr>
          <w:sz w:val="19"/>
        </w:rPr>
        <w:t>et</w:t>
      </w:r>
      <w:r>
        <w:rPr>
          <w:spacing w:val="-10"/>
          <w:sz w:val="19"/>
        </w:rPr>
        <w:t> </w:t>
      </w:r>
      <w:r>
        <w:rPr>
          <w:sz w:val="19"/>
        </w:rPr>
        <w:t>pliantes</w:t>
      </w:r>
      <w:r>
        <w:rPr>
          <w:spacing w:val="-11"/>
          <w:sz w:val="19"/>
        </w:rPr>
        <w:t> </w:t>
      </w:r>
      <w:r>
        <w:rPr>
          <w:sz w:val="19"/>
        </w:rPr>
        <w:t>selon</w:t>
      </w:r>
      <w:r>
        <w:rPr>
          <w:spacing w:val="-11"/>
          <w:sz w:val="19"/>
        </w:rPr>
        <w:t> </w:t>
      </w:r>
      <w:r>
        <w:rPr>
          <w:sz w:val="19"/>
        </w:rPr>
        <w:t>EN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1527/2013</w:t>
      </w:r>
    </w:p>
    <w:p>
      <w:pPr>
        <w:pStyle w:val="BodyText"/>
        <w:spacing w:before="4"/>
        <w:ind w:left="112"/>
      </w:pPr>
      <w:r>
        <w:rPr/>
        <w:t>–</w:t>
      </w:r>
      <w:r>
        <w:rPr>
          <w:spacing w:val="-5"/>
        </w:rPr>
        <w:t> </w:t>
      </w:r>
      <w:r>
        <w:rPr/>
        <w:t>Durée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fonctionnalité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catégorie</w:t>
      </w:r>
      <w:r>
        <w:rPr>
          <w:spacing w:val="-5"/>
        </w:rPr>
        <w:t> </w:t>
      </w:r>
      <w:r>
        <w:rPr/>
        <w:t>6*</w:t>
      </w:r>
      <w:r>
        <w:rPr>
          <w:spacing w:val="-5"/>
        </w:rPr>
        <w:t> </w:t>
      </w:r>
      <w:r>
        <w:rPr/>
        <w:t>(catégorie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plus</w:t>
      </w:r>
      <w:r>
        <w:rPr>
          <w:spacing w:val="-6"/>
        </w:rPr>
        <w:t> </w:t>
      </w:r>
      <w:r>
        <w:rPr/>
        <w:t>élevée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100’000</w:t>
      </w:r>
      <w:r>
        <w:rPr>
          <w:spacing w:val="-6"/>
        </w:rPr>
        <w:t> </w:t>
      </w:r>
      <w:r>
        <w:rPr>
          <w:spacing w:val="-2"/>
        </w:rPr>
        <w:t>cycles)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Ferrures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Résistance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solidité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volets roulants selon EN 15706/2009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112" w:right="59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tous les composants, à l’exception des pièces d’usure, pour une période de 2 ans à compter du transfert du risque.</w:t>
      </w:r>
    </w:p>
    <w:p>
      <w:pPr>
        <w:spacing w:after="0" w:line="242" w:lineRule="auto"/>
        <w:sectPr>
          <w:type w:val="continuous"/>
          <w:pgSz w:w="11910" w:h="16840"/>
          <w:pgMar w:header="401" w:footer="1105" w:top="1960" w:bottom="1300" w:left="460" w:right="500"/>
          <w:cols w:num="2" w:equalWidth="0">
            <w:col w:w="1467" w:space="879"/>
            <w:col w:w="8604"/>
          </w:cols>
        </w:sectPr>
      </w:pPr>
    </w:p>
    <w:p>
      <w:pPr>
        <w:tabs>
          <w:tab w:pos="2459" w:val="left" w:leader="none"/>
        </w:tabs>
        <w:spacing w:line="254" w:lineRule="auto" w:before="176"/>
        <w:ind w:left="2459" w:right="196" w:hanging="2347"/>
        <w:jc w:val="left"/>
        <w:rPr>
          <w:sz w:val="19"/>
        </w:rPr>
      </w:pPr>
      <w:r>
        <w:rPr>
          <w:b/>
          <w:position w:val="1"/>
          <w:sz w:val="20"/>
        </w:rPr>
        <w:t>Version du produit</w:t>
        <w:tab/>
      </w:r>
      <w:r>
        <w:rPr>
          <w:sz w:val="19"/>
        </w:rPr>
        <w:t>Hawa Junior 160 A composé d'un rail de roulement (épaisseur de la paroi en aluminium 4.0 mm), chariots à palier, Stopper, profil porteur avec sabot de suspension, guidage au sol sans jeu.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459"/>
      </w:pP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option</w:t>
      </w:r>
      <w:r>
        <w:rPr>
          <w:spacing w:val="-15"/>
        </w:rPr>
        <w:t> </w:t>
      </w:r>
      <w:r>
        <w:rPr>
          <w:spacing w:val="-10"/>
        </w:rPr>
        <w:t>: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66" w:val="left" w:leader="dot"/>
        </w:tabs>
        <w:ind w:left="2461" w:right="4568"/>
      </w:pPr>
      <w:r>
        <w:rPr/>
        <w:t>(….)</w:t>
      </w:r>
      <w:r>
        <w:rPr>
          <w:spacing w:val="18"/>
        </w:rPr>
        <w:t> </w:t>
      </w:r>
      <w:r>
        <w:rPr/>
        <w:t>Butée</w:t>
      </w:r>
      <w:r>
        <w:rPr>
          <w:spacing w:val="20"/>
        </w:rPr>
        <w:t> </w:t>
      </w:r>
      <w:r>
        <w:rPr/>
        <w:t>au</w:t>
      </w:r>
      <w:r>
        <w:rPr>
          <w:spacing w:val="19"/>
        </w:rPr>
        <w:t> </w:t>
      </w:r>
      <w:r>
        <w:rPr/>
        <w:t>sol,</w:t>
      </w:r>
      <w:r>
        <w:rPr>
          <w:spacing w:val="19"/>
        </w:rPr>
        <w:t> </w:t>
      </w:r>
      <w:r>
        <w:rPr/>
        <w:t>avec</w:t>
      </w:r>
      <w:r>
        <w:rPr>
          <w:spacing w:val="20"/>
        </w:rPr>
        <w:t> </w:t>
      </w:r>
      <w:r>
        <w:rPr/>
        <w:t>pièce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centrage</w:t>
      </w:r>
      <w:r>
        <w:rPr>
          <w:spacing w:val="40"/>
        </w:rPr>
        <w:t> </w:t>
      </w: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fond</w:t>
      </w:r>
      <w:r>
        <w:rPr>
          <w:spacing w:val="-7"/>
        </w:rPr>
        <w:t> </w:t>
      </w:r>
      <w:r>
        <w:rPr/>
        <w:t>mural</w:t>
      </w:r>
      <w:r>
        <w:rPr>
          <w:spacing w:val="-8"/>
        </w:rPr>
        <w:t> </w:t>
      </w:r>
      <w:r>
        <w:rPr/>
        <w:t>Hawa</w:t>
      </w:r>
      <w:r>
        <w:rPr>
          <w:spacing w:val="-6"/>
        </w:rPr>
        <w:t> </w:t>
      </w:r>
      <w:r>
        <w:rPr/>
        <w:t>Confort</w:t>
      </w:r>
      <w:r>
        <w:rPr>
          <w:spacing w:val="-7"/>
        </w:rPr>
        <w:t> </w:t>
      </w:r>
      <w:r>
        <w:rPr/>
        <w:t>160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2461" w:val="left" w:leader="none"/>
        </w:tabs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BodyText"/>
        <w:spacing w:before="1"/>
        <w:ind w:left="2461"/>
      </w:pPr>
      <w:r>
        <w:rPr/>
        <w:t>–Fixation</w:t>
      </w:r>
      <w:r>
        <w:rPr>
          <w:spacing w:val="-7"/>
        </w:rPr>
        <w:t> </w:t>
      </w:r>
      <w:r>
        <w:rPr/>
        <w:t>vissée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soudée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bride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support</w:t>
      </w:r>
    </w:p>
    <w:p>
      <w:pPr>
        <w:pStyle w:val="BodyText"/>
        <w:spacing w:before="3"/>
        <w:ind w:left="2461"/>
      </w:pPr>
      <w:r>
        <w:rPr/>
        <w:t>–</w:t>
      </w:r>
      <w:r>
        <w:rPr>
          <w:spacing w:val="-5"/>
        </w:rPr>
        <w:t> </w:t>
      </w:r>
      <w:r>
        <w:rPr/>
        <w:t>Rainure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</w:t>
      </w:r>
      <w:r>
        <w:rPr>
          <w:spacing w:val="-4"/>
        </w:rPr>
        <w:t> </w:t>
      </w:r>
      <w:r>
        <w:rPr/>
        <w:t>(H</w:t>
      </w:r>
      <w:r>
        <w:rPr>
          <w:spacing w:val="-5"/>
        </w:rPr>
        <w:t> </w:t>
      </w:r>
      <w:r>
        <w:rPr/>
        <w:t>×</w:t>
      </w:r>
      <w:r>
        <w:rPr>
          <w:spacing w:val="-4"/>
        </w:rPr>
        <w:t> </w:t>
      </w:r>
      <w:r>
        <w:rPr/>
        <w:t>B)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×</w:t>
      </w:r>
      <w:r>
        <w:rPr>
          <w:spacing w:val="-4"/>
        </w:rPr>
        <w:t> </w:t>
      </w:r>
      <w:r>
        <w:rPr/>
        <w:t>14</w:t>
      </w:r>
      <w:r>
        <w:rPr>
          <w:spacing w:val="-5"/>
        </w:rPr>
        <w:t> </w:t>
      </w:r>
      <w:r>
        <w:rPr/>
        <w:t>mm</w:t>
      </w:r>
      <w:r>
        <w:rPr>
          <w:spacing w:val="-4"/>
        </w:rPr>
        <w:t> </w:t>
      </w:r>
      <w:r>
        <w:rPr/>
        <w:t>(28</w:t>
      </w:r>
      <w:r>
        <w:rPr>
          <w:spacing w:val="-5"/>
        </w:rPr>
        <w:t> </w:t>
      </w:r>
      <w:r>
        <w:rPr/>
        <w:t>×</w:t>
      </w:r>
      <w:r>
        <w:rPr>
          <w:spacing w:val="-4"/>
        </w:rPr>
        <w:t> </w:t>
      </w:r>
      <w:r>
        <w:rPr/>
        <w:t>17</w:t>
      </w:r>
      <w:r>
        <w:rPr>
          <w:spacing w:val="-5"/>
        </w:rPr>
        <w:t> </w:t>
      </w:r>
      <w:r>
        <w:rPr/>
        <w:t>mm</w:t>
      </w:r>
      <w:r>
        <w:rPr>
          <w:spacing w:val="-4"/>
        </w:rPr>
        <w:t> </w:t>
      </w:r>
      <w:r>
        <w:rPr/>
        <w:t>pour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</w:t>
      </w:r>
      <w:r>
        <w:rPr>
          <w:spacing w:val="-4"/>
        </w:rPr>
        <w:t> </w:t>
      </w:r>
      <w:r>
        <w:rPr>
          <w:spacing w:val="-2"/>
        </w:rPr>
        <w:t>plastique)</w:t>
      </w:r>
    </w:p>
    <w:sectPr>
      <w:pgSz w:w="11910" w:h="16840"/>
      <w:pgMar w:header="401" w:footer="1105" w:top="196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5766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5715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5703249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194pt;width:32.950pt;height:13.95pt;mso-position-horizontal-relative:page;mso-position-vertical-relative:page;z-index:-1585817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2023-03-07T08:17:04Z</dcterms:created>
  <dcterms:modified xsi:type="dcterms:W3CDTF">2023-03-07T08:17:04Z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