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98.9pt;mso-position-horizontal-relative:page;mso-position-vertical-relative:page;z-index:15728640" id="docshapegroup4" coordorigin="62,1983" coordsize="11783,7978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59" id="docshape9" coordorigin="62,3627" coordsize="11766,1259" path="m3464,4375l2897,4375,62,4375,62,4886,2897,4886,3464,4886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83;height:1049" id="docshape11" coordorigin="62,4375" coordsize="11783,1049" path="m11845,4886l11834,4886,11834,4375,11119,4375,4882,4375,3464,4375,3464,4886,2897,4886,62,4886,62,5424,2897,5424,7615,5424,11289,5424,11845,5424,11845,4886xe" filled="true" fillcolor="#f4f4f4" stroked="false">
              <v:path arrowok="t"/>
              <v:fill type="solid"/>
            </v:shape>
            <v:rect style="position:absolute;left:2897;top:5401;width:4718;height:23" id="docshape12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14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15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16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17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18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19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0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1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2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3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24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25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26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27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28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id="docshape29" coordorigin="62,6700" coordsize="11783,256" path="m11845,6700l11289,6700,7615,6700,2897,6700,62,6700,62,6955,2897,6955,7615,6955,11289,6955,11845,6955,11845,6700xe" filled="true" fillcolor="#f4f4f4" stroked="false">
              <v:path arrowok="t"/>
              <v:fill type="solid"/>
            </v:shape>
            <v:rect style="position:absolute;left:2897;top:6932;width:4718;height:23" id="docshape30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id="docshape31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id="docshape32" coordorigin="62,6955" coordsize="11783,256" path="m11845,6955l11289,6955,7615,6955,2897,6955,62,6955,62,7210,2897,7210,7615,7210,11289,7210,11845,7210,11845,6955xe" filled="true" fillcolor="#f4f4f4" stroked="false">
              <v:path arrowok="t"/>
              <v:fill type="solid"/>
            </v:shape>
            <v:rect style="position:absolute;left:2897;top:7187;width:4718;height:23" id="docshape3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id="docshape34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id="docshape35" coordorigin="62,7210" coordsize="11783,539" path="m11845,7210l11289,7210,7615,7210,2897,7210,62,7210,62,7749,2897,7749,7615,7749,11289,7749,11845,7749,11845,7210xe" filled="true" fillcolor="#f4f4f4" stroked="false">
              <v:path arrowok="t"/>
              <v:fill type="solid"/>
            </v:shape>
            <v:rect style="position:absolute;left:2897;top:7726;width:4718;height:23" id="docshape36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id="docshape37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id="docshape38" coordorigin="62,7749" coordsize="11783,256" path="m11845,7749l11289,7749,7615,7749,2897,7749,62,7749,62,8004,2897,8004,7615,8004,11289,8004,11845,8004,11845,7749xe" filled="true" fillcolor="#f4f4f4" stroked="false">
              <v:path arrowok="t"/>
              <v:fill type="solid"/>
            </v:shape>
            <v:rect style="position:absolute;left:2897;top:7981;width:4718;height:23" id="docshape39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id="docshape40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id="docshape41" coordorigin="62,8004" coordsize="11783,256" path="m11845,8004l11289,8004,7615,8004,2897,8004,62,8004,62,8259,2897,8259,7615,8259,11289,8259,11845,8259,11845,8004xe" filled="true" fillcolor="#f4f4f4" stroked="false">
              <v:path arrowok="t"/>
              <v:fill type="solid"/>
            </v:shape>
            <v:rect style="position:absolute;left:2897;top:8236;width:4718;height:23" id="docshape42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id="docshape4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id="docshape44" coordorigin="62,8259" coordsize="11783,256" path="m11845,8259l11289,8259,7615,8259,2897,8259,62,8259,62,8514,2897,8514,7615,8514,11289,8514,11845,8514,11845,8259xe" filled="true" fillcolor="#f4f4f4" stroked="false">
              <v:path arrowok="t"/>
              <v:fill type="solid"/>
            </v:shape>
            <v:rect style="position:absolute;left:2897;top:8491;width:4718;height:23" id="docshape45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id="docshape46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539" id="docshape47" coordorigin="62,8514" coordsize="11783,539" path="m11845,8514l11289,8514,7615,8514,2897,8514,62,8514,62,9053,2897,9053,7615,9053,11289,9053,11845,9053,11845,8514xe" filled="true" fillcolor="#f4f4f4" stroked="false">
              <v:path arrowok="t"/>
              <v:fill type="solid"/>
            </v:shape>
            <v:rect style="position:absolute;left:2897;top:9030;width:4718;height:23" id="docshape48" filled="true" fillcolor="#dcdcdc" stroked="false">
              <v:fill type="solid"/>
            </v:rect>
            <v:line style="position:absolute" from="2909,9042" to="7604,9042" stroked="true" strokeweight="0pt" strokecolor="#dcdcdc">
              <v:stroke dashstyle="solid"/>
            </v:line>
            <v:rect style="position:absolute;left:7615;top:9030;width:3675;height:23" id="docshape49" filled="true" fillcolor="#dcdcdc" stroked="false">
              <v:fill type="solid"/>
            </v:rect>
            <v:line style="position:absolute" from="7626,9042" to="11278,9042" stroked="true" strokeweight="0pt" strokecolor="#dcdcdc">
              <v:stroke dashstyle="solid"/>
            </v:line>
            <v:shape style="position:absolute;left:62;top:9052;width:11783;height:256" id="docshape50" coordorigin="62,9053" coordsize="11783,256" path="m11845,9053l11289,9053,7615,9053,2897,9053,62,9053,62,9308,2897,9308,7615,9308,11289,9308,11845,9308,11845,9053xe" filled="true" fillcolor="#f4f4f4" stroked="false">
              <v:path arrowok="t"/>
              <v:fill type="solid"/>
            </v:shape>
            <v:rect style="position:absolute;left:2897;top:9285;width:4718;height:23" id="docshape51" filled="true" fillcolor="#dcdcdc" stroked="false">
              <v:fill type="solid"/>
            </v:rect>
            <v:line style="position:absolute" from="2909,9297" to="7604,9297" stroked="true" strokeweight="0pt" strokecolor="#dcdcdc">
              <v:stroke dashstyle="solid"/>
            </v:line>
            <v:rect style="position:absolute;left:7615;top:9285;width:3675;height:23" id="docshape52" filled="true" fillcolor="#dcdcdc" stroked="false">
              <v:fill type="solid"/>
            </v:rect>
            <v:line style="position:absolute" from="7626,9297" to="11278,9297" stroked="true" strokeweight="0pt" strokecolor="#dcdcdc">
              <v:stroke dashstyle="solid"/>
            </v:line>
            <v:shape style="position:absolute;left:62;top:9308;width:11783;height:256" id="docshape53" coordorigin="62,9308" coordsize="11783,256" path="m11845,9308l11289,9308,7615,9308,2897,9308,62,9308,62,9563,2897,9563,7615,9563,11289,9563,11845,9563,11845,9308xe" filled="true" fillcolor="#f4f4f4" stroked="false">
              <v:path arrowok="t"/>
              <v:fill type="solid"/>
            </v:shape>
            <v:rect style="position:absolute;left:2897;top:9540;width:4718;height:23" id="docshape54" filled="true" fillcolor="#dcdcdc" stroked="false">
              <v:fill type="solid"/>
            </v:rect>
            <v:line style="position:absolute" from="2909,9552" to="7604,9552" stroked="true" strokeweight="0pt" strokecolor="#dcdcdc">
              <v:stroke dashstyle="solid"/>
            </v:line>
            <v:rect style="position:absolute;left:7615;top:9540;width:3675;height:23" id="docshape55" filled="true" fillcolor="#dcdcdc" stroked="false">
              <v:fill type="solid"/>
            </v:rect>
            <v:line style="position:absolute" from="7626,9552" to="11278,9552" stroked="true" strokeweight="0pt" strokecolor="#dcdcdc">
              <v:stroke dashstyle="solid"/>
            </v:line>
            <v:rect style="position:absolute;left:62;top:9563;width:11772;height:397" id="docshape56" filled="true" fillcolor="#f4f4f4" stroked="false">
              <v:fill type="solid"/>
            </v:rect>
            <v:shape style="position:absolute;left:572;top:2243;width:10096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 plafond. Hauteur d’installation minimale.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85;width:7169;height:431" type="#_x0000_t202" id="docshape59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Réglage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via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deux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entièrement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montée</w:t>
                    </w:r>
                  </w:p>
                </w:txbxContent>
              </v:textbox>
              <w10:wrap type="none"/>
            </v:shape>
            <v:shape style="position:absolute;left:3464;top:4539;width:1036;height:199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534;width:3340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Capuchons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différentes</w:t>
                    </w:r>
                    <w:r>
                      <w:rPr>
                        <w:spacing w:val="-2"/>
                        <w:sz w:val="20"/>
                      </w:rPr>
                      <w:t> versions</w:t>
                    </w:r>
                  </w:p>
                </w:txbxContent>
              </v:textbox>
              <w10:wrap type="none"/>
            </v:shape>
            <v:shape style="position:absolute;left:572;top:5214;width:4612;height:1985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214;width:1012;height:1985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550;width:1886;height:199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539;width:2639;height:96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539;width:325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843;width:5928;height:709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843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tabs>
          <w:tab w:pos="2461" w:val="left" w:leader="none"/>
        </w:tabs>
        <w:spacing w:line="249" w:lineRule="auto" w:before="44"/>
        <w:ind w:left="2461" w:right="795" w:hanging="2349"/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</w:rPr>
        <w:t>Serrures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bâtiment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Ferrures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1"/>
          <w:w w:val="105"/>
        </w:rPr>
        <w:t> </w:t>
      </w:r>
      <w:r>
        <w:rPr>
          <w:w w:val="105"/>
        </w:rPr>
        <w:t>portes</w:t>
      </w:r>
      <w:r>
        <w:rPr>
          <w:spacing w:val="-1"/>
          <w:w w:val="105"/>
        </w:rPr>
        <w:t> </w:t>
      </w:r>
      <w:r>
        <w:rPr>
          <w:w w:val="105"/>
        </w:rPr>
        <w:t>coulissantes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pliantes</w:t>
      </w:r>
      <w:r>
        <w:rPr>
          <w:spacing w:val="-1"/>
          <w:w w:val="105"/>
        </w:rPr>
        <w:t> </w:t>
      </w:r>
      <w:r>
        <w:rPr>
          <w:w w:val="105"/>
        </w:rPr>
        <w:t>selon EN 1527 / 2013</w:t>
      </w:r>
    </w:p>
    <w:p>
      <w:pPr>
        <w:pStyle w:val="BodyText"/>
        <w:spacing w:line="220" w:lineRule="exact"/>
        <w:ind w:left="2461"/>
      </w:pP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Durée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fonctionnalité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-7"/>
          <w:w w:val="105"/>
        </w:rPr>
        <w:t> </w:t>
      </w:r>
      <w:r>
        <w:rPr>
          <w:w w:val="105"/>
        </w:rPr>
        <w:t>catégorie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(catégorie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plus</w:t>
      </w:r>
      <w:r>
        <w:rPr>
          <w:spacing w:val="-5"/>
          <w:w w:val="105"/>
        </w:rPr>
        <w:t> </w:t>
      </w:r>
      <w:r>
        <w:rPr>
          <w:w w:val="105"/>
        </w:rPr>
        <w:t>élevée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100’000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cycles)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9" w:lineRule="auto"/>
        <w:ind w:left="2461"/>
      </w:pP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meuble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Résistance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solidité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portes</w:t>
      </w:r>
      <w:r>
        <w:rPr>
          <w:spacing w:val="-2"/>
          <w:w w:val="105"/>
        </w:rPr>
        <w:t> </w:t>
      </w:r>
      <w:r>
        <w:rPr>
          <w:w w:val="105"/>
        </w:rPr>
        <w:t>coulissantes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volets roulants selon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2"/>
        <w:tabs>
          <w:tab w:pos="2461" w:val="left" w:leader="none"/>
        </w:tabs>
        <w:spacing w:line="242" w:lineRule="auto"/>
        <w:ind w:left="2461" w:right="5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line="249" w:lineRule="auto" w:before="45"/>
        <w:ind w:left="2461" w:right="113" w:hanging="2349"/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</w:rPr>
        <w:t>Hawa Junior 40 GP composé d'un rail de roulement (épaisseur de la paroi en aluminium 2,0 mm),</w:t>
      </w:r>
      <w:r>
        <w:rPr>
          <w:spacing w:val="-3"/>
          <w:w w:val="105"/>
        </w:rPr>
        <w:t> </w:t>
      </w:r>
      <w:r>
        <w:rPr>
          <w:w w:val="105"/>
        </w:rPr>
        <w:t>chariots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palier,</w:t>
      </w:r>
      <w:r>
        <w:rPr>
          <w:spacing w:val="-3"/>
          <w:w w:val="105"/>
        </w:rPr>
        <w:t> </w:t>
      </w:r>
      <w:r>
        <w:rPr>
          <w:w w:val="105"/>
        </w:rPr>
        <w:t>butée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amortisseur</w:t>
      </w:r>
      <w:r>
        <w:rPr>
          <w:spacing w:val="-2"/>
          <w:w w:val="105"/>
        </w:rPr>
        <w:t> </w:t>
      </w:r>
      <w:r>
        <w:rPr>
          <w:w w:val="105"/>
        </w:rPr>
        <w:t>SoftMove</w:t>
      </w:r>
      <w:r>
        <w:rPr>
          <w:spacing w:val="-2"/>
          <w:w w:val="105"/>
        </w:rPr>
        <w:t> </w:t>
      </w:r>
      <w:r>
        <w:rPr>
          <w:w w:val="105"/>
        </w:rPr>
        <w:t>40,</w:t>
      </w:r>
      <w:r>
        <w:rPr>
          <w:spacing w:val="-3"/>
          <w:w w:val="105"/>
        </w:rPr>
        <w:t> </w:t>
      </w:r>
      <w:r>
        <w:rPr>
          <w:w w:val="105"/>
        </w:rPr>
        <w:t>Suspension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verre</w:t>
      </w:r>
      <w:r>
        <w:rPr>
          <w:spacing w:val="-2"/>
          <w:w w:val="105"/>
        </w:rPr>
        <w:t> </w:t>
      </w:r>
      <w:r>
        <w:rPr>
          <w:w w:val="105"/>
        </w:rPr>
        <w:t>avec</w:t>
      </w:r>
      <w:r>
        <w:rPr>
          <w:spacing w:val="-2"/>
          <w:w w:val="105"/>
        </w:rPr>
        <w:t> </w:t>
      </w:r>
      <w:r>
        <w:rPr>
          <w:w w:val="105"/>
        </w:rPr>
        <w:t>fixation par points, guidage au sol sans jeu</w:t>
      </w:r>
    </w:p>
    <w:p>
      <w:pPr>
        <w:pStyle w:val="BodyText"/>
        <w:spacing w:before="9"/>
      </w:pPr>
    </w:p>
    <w:p>
      <w:pPr>
        <w:pStyle w:val="BodyText"/>
        <w:ind w:left="2461"/>
      </w:pP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option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: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6"/>
          <w:w w:val="105"/>
        </w:rPr>
        <w:t> </w:t>
      </w:r>
      <w:r>
        <w:rPr>
          <w:w w:val="105"/>
        </w:rPr>
        <w:t>Rails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guidage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7"/>
          <w:w w:val="105"/>
        </w:rPr>
        <w:t> </w:t>
      </w:r>
      <w:r>
        <w:rPr>
          <w:w w:val="105"/>
        </w:rPr>
        <w:t>Kit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rails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vitrage</w:t>
      </w:r>
      <w:r>
        <w:rPr>
          <w:spacing w:val="-4"/>
          <w:w w:val="105"/>
        </w:rPr>
        <w:t> fixe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5"/>
          <w:w w:val="105"/>
        </w:rPr>
        <w:t> </w:t>
      </w:r>
      <w:r>
        <w:rPr>
          <w:w w:val="105"/>
        </w:rPr>
        <w:t>Butée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sol,</w:t>
      </w:r>
      <w:r>
        <w:rPr>
          <w:spacing w:val="-4"/>
          <w:w w:val="105"/>
        </w:rPr>
        <w:t> </w:t>
      </w:r>
      <w:r>
        <w:rPr>
          <w:w w:val="105"/>
        </w:rPr>
        <w:t>avec</w:t>
      </w:r>
      <w:r>
        <w:rPr>
          <w:spacing w:val="-3"/>
          <w:w w:val="105"/>
        </w:rPr>
        <w:t> </w:t>
      </w:r>
      <w:r>
        <w:rPr>
          <w:w w:val="105"/>
        </w:rPr>
        <w:t>pièce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centrage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before="121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2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3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points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57.4pt;height:35.2pt;mso-position-horizontal-relative:page;mso-position-vertical-relative:page;z-index:-1585817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Fischbachstrasse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4,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8932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Mettmenstetten,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Suisse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Tél.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+41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787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5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info@hawa.com,</w:t>
                  </w:r>
                </w:hyperlink>
                <w:r>
                  <w:rPr>
                    <w:spacing w:val="-6"/>
                    <w:sz w:val="20"/>
                  </w:rPr>
                  <w:t> </w:t>
                </w:r>
                <w:hyperlink r:id="rId2">
                  <w:r>
                    <w:rPr>
                      <w:spacing w:val="-2"/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7664" type="#_x0000_t202" id="docshape3" filled="false" stroked="false">
          <v:textbox inset="0,0,0,0">
            <w:txbxContent>
              <w:p>
                <w:pPr>
                  <w:spacing w:line="20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0824pt;margin-top:68.660667pt;width:35.25pt;height:13.95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2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45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68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91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1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37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0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83" w:hanging="13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2023-03-07T07:29:51Z</dcterms:created>
  <dcterms:modified xsi:type="dcterms:W3CDTF">2023-03-07T07:29:51Z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