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409.4pt;mso-position-horizontal-relative:page;mso-position-vertical-relative:page;z-index:15728640" id="docshapegroup4" coordorigin="62,1983" coordsize="11783,8188">
            <v:shape style="position:absolute;left:62;top:1982;width:11766;height:1645" id="docshape5" coordorigin="62,1983" coordsize="11766,1645" path="m11828,1983l11289,1983,62,1983,62,3599,62,3627,573,3627,573,3599,11289,3599,11828,3599,11828,1983xe" filled="true" fillcolor="#f4f4f4" stroked="false">
              <v:path arrowok="t"/>
              <v:fill type="solid"/>
            </v:shape>
            <v:rect style="position:absolute;left:572;top:3598;width:681;height:29" id="docshape6" filled="true" fillcolor="#ff0000" stroked="false">
              <v:fill type="solid"/>
            </v:rect>
            <v:shape style="position:absolute;left:62;top:3598;width:11783;height:550" id="docshape7" coordorigin="62,3599" coordsize="11783,550" path="m11845,3599l1253,3599,1253,3627,62,3627,62,4149,2897,4149,3464,4149,3464,3627,11845,3627,11845,3599xe" filled="true" fillcolor="#f4f4f4" stroked="false">
              <v:path arrowok="t"/>
              <v:fill type="solid"/>
            </v:shape>
            <v:shape style="position:absolute;left:2942;top:3683;width:420;height:454" type="#_x0000_t75" id="docshape8" stroked="false">
              <v:imagedata r:id="rId7" o:title=""/>
            </v:shape>
            <v:shape style="position:absolute;left:62;top:3627;width:11766;height:1214" id="docshape9" coordorigin="62,3627" coordsize="11766,1214" path="m3464,4149l2897,4149,62,4149,62,4840,2897,4840,3464,4840,3464,4149xm11828,3627l11289,3627,4882,3627,3464,3627,3464,4149,4882,4149,11289,4149,11828,4149,11828,3627xe" filled="true" fillcolor="#f4f4f4" stroked="false">
              <v:path arrowok="t"/>
              <v:fill type="solid"/>
            </v:shape>
            <v:shape style="position:absolute;left:2942;top:4205;width:420;height:454" type="#_x0000_t75" id="docshape10" stroked="false">
              <v:imagedata r:id="rId8" o:title=""/>
            </v:shape>
            <v:shape style="position:absolute;left:62;top:4148;width:11783;height:1231" id="docshape11" coordorigin="62,4149" coordsize="11783,1231" path="m11845,4840l11834,4840,11834,4149,11119,4149,4882,4149,3464,4149,3464,4840,2897,4840,62,4840,62,5379,2897,5379,7615,5379,11289,5379,11845,5379,11845,4840xe" filled="true" fillcolor="#f4f4f4" stroked="false">
              <v:path arrowok="t"/>
              <v:fill type="solid"/>
            </v:shape>
            <v:rect style="position:absolute;left:2897;top:5356;width:4718;height:23" id="docshape12" filled="true" fillcolor="#dcdcdc" stroked="false">
              <v:fill type="solid"/>
            </v:rect>
            <v:line style="position:absolute" from="2909,5368" to="7604,5368" stroked="true" strokeweight="0pt" strokecolor="#dcdcdc">
              <v:stroke dashstyle="solid"/>
            </v:line>
            <v:rect style="position:absolute;left:7615;top:5356;width:3675;height:23" id="docshape13" filled="true" fillcolor="#dcdcdc" stroked="false">
              <v:fill type="solid"/>
            </v:rect>
            <v:line style="position:absolute" from="7626,5368" to="11278,5368" stroked="true" strokeweight="0pt" strokecolor="#dcdcdc">
              <v:stroke dashstyle="solid"/>
            </v:line>
            <v:shape style="position:absolute;left:62;top:5378;width:11783;height:256" id="docshape14" coordorigin="62,5379" coordsize="11783,256" path="m11845,5379l11289,5379,7615,5379,2897,5379,62,5379,62,5634,2897,5634,7615,5634,11289,5634,11845,5634,11845,5379xe" filled="true" fillcolor="#f4f4f4" stroked="false">
              <v:path arrowok="t"/>
              <v:fill type="solid"/>
            </v:shape>
            <v:rect style="position:absolute;left:2897;top:5611;width:4718;height:23" id="docshape15" filled="true" fillcolor="#dcdcdc" stroked="false">
              <v:fill type="solid"/>
            </v:rect>
            <v:line style="position:absolute" from="2909,5623" to="7604,5623" stroked="true" strokeweight="0pt" strokecolor="#dcdcdc">
              <v:stroke dashstyle="solid"/>
            </v:line>
            <v:rect style="position:absolute;left:7615;top:5611;width:3675;height:23" id="docshape16" filled="true" fillcolor="#dcdcdc" stroked="false">
              <v:fill type="solid"/>
            </v:rect>
            <v:line style="position:absolute" from="7626,5623" to="11278,5623" stroked="true" strokeweight="0pt" strokecolor="#dcdcdc">
              <v:stroke dashstyle="solid"/>
            </v:line>
            <v:shape style="position:absolute;left:62;top:5634;width:11783;height:256" id="docshape17" coordorigin="62,5634" coordsize="11783,256" path="m11845,5634l11289,5634,7615,5634,2897,5634,62,5634,62,5889,2897,5889,7615,5889,11289,5889,11845,5889,11845,5634xe" filled="true" fillcolor="#f4f4f4" stroked="false">
              <v:path arrowok="t"/>
              <v:fill type="solid"/>
            </v:shape>
            <v:rect style="position:absolute;left:2897;top:5866;width:4718;height:23" id="docshape18" filled="true" fillcolor="#dcdcdc" stroked="false">
              <v:fill type="solid"/>
            </v:rect>
            <v:line style="position:absolute" from="2909,5878" to="7604,5878" stroked="true" strokeweight="0pt" strokecolor="#dcdcdc">
              <v:stroke dashstyle="solid"/>
            </v:line>
            <v:rect style="position:absolute;left:7615;top:5866;width:3675;height:23" id="docshape19" filled="true" fillcolor="#dcdcdc" stroked="false">
              <v:fill type="solid"/>
            </v:rect>
            <v:line style="position:absolute" from="7626,5878" to="11278,5878" stroked="true" strokeweight="0pt" strokecolor="#dcdcdc">
              <v:stroke dashstyle="solid"/>
            </v:line>
            <v:shape style="position:absolute;left:62;top:5889;width:11783;height:256" id="docshape20" coordorigin="62,5889" coordsize="11783,256" path="m11845,5889l11289,5889,7615,5889,2897,5889,62,5889,62,6144,2897,6144,7615,6144,11289,6144,11845,6144,11845,5889xe" filled="true" fillcolor="#f4f4f4" stroked="false">
              <v:path arrowok="t"/>
              <v:fill type="solid"/>
            </v:shape>
            <v:rect style="position:absolute;left:2897;top:6121;width:4718;height:23" id="docshape21" filled="true" fillcolor="#dcdcdc" stroked="false">
              <v:fill type="solid"/>
            </v:rect>
            <v:line style="position:absolute" from="2909,6133" to="7604,6133" stroked="true" strokeweight="0pt" strokecolor="#dcdcdc">
              <v:stroke dashstyle="solid"/>
            </v:line>
            <v:rect style="position:absolute;left:7615;top:6121;width:3675;height:23" id="docshape22" filled="true" fillcolor="#dcdcdc" stroked="false">
              <v:fill type="solid"/>
            </v:rect>
            <v:line style="position:absolute" from="7626,6133" to="11278,6133" stroked="true" strokeweight="0pt" strokecolor="#dcdcdc">
              <v:stroke dashstyle="solid"/>
            </v:line>
            <v:shape style="position:absolute;left:62;top:6144;width:11783;height:256" id="docshape23" coordorigin="62,6144" coordsize="11783,256" path="m11845,6144l11289,6144,7615,6144,2897,6144,62,6144,62,6399,2897,6399,7615,6399,11289,6399,11845,6399,11845,6144xe" filled="true" fillcolor="#f4f4f4" stroked="false">
              <v:path arrowok="t"/>
              <v:fill type="solid"/>
            </v:shape>
            <v:rect style="position:absolute;left:2897;top:6376;width:4718;height:23" id="docshape24" filled="true" fillcolor="#dcdcdc" stroked="false">
              <v:fill type="solid"/>
            </v:rect>
            <v:line style="position:absolute" from="2909,6388" to="7604,6388" stroked="true" strokeweight="0pt" strokecolor="#dcdcdc">
              <v:stroke dashstyle="solid"/>
            </v:line>
            <v:rect style="position:absolute;left:7615;top:6376;width:3675;height:23" id="docshape25" filled="true" fillcolor="#dcdcdc" stroked="false">
              <v:fill type="solid"/>
            </v:rect>
            <v:line style="position:absolute" from="7626,6388" to="11278,6388" stroked="true" strokeweight="0pt" strokecolor="#dcdcdc">
              <v:stroke dashstyle="solid"/>
            </v:line>
            <v:shape style="position:absolute;left:62;top:6399;width:11783;height:256" id="docshape26" coordorigin="62,6399" coordsize="11783,256" path="m11845,6399l11289,6399,7615,6399,2897,6399,62,6399,62,6655,2897,6655,7615,6655,11289,6655,11845,6655,11845,6399xe" filled="true" fillcolor="#f4f4f4" stroked="false">
              <v:path arrowok="t"/>
              <v:fill type="solid"/>
            </v:shape>
            <v:rect style="position:absolute;left:2897;top:6631;width:4718;height:23" id="docshape27" filled="true" fillcolor="#dcdcdc" stroked="false">
              <v:fill type="solid"/>
            </v:rect>
            <v:line style="position:absolute" from="2909,6643" to="7604,6643" stroked="true" strokeweight="0pt" strokecolor="#dcdcdc">
              <v:stroke dashstyle="solid"/>
            </v:line>
            <v:rect style="position:absolute;left:7615;top:6631;width:3675;height:23" id="docshape28" filled="true" fillcolor="#dcdcdc" stroked="false">
              <v:fill type="solid"/>
            </v:rect>
            <v:line style="position:absolute" from="7626,6643" to="11278,6643" stroked="true" strokeweight="0pt" strokecolor="#dcdcdc">
              <v:stroke dashstyle="solid"/>
            </v:line>
            <v:shape style="position:absolute;left:62;top:6654;width:11783;height:256" id="docshape29" coordorigin="62,6655" coordsize="11783,256" path="m11845,6655l11289,6655,7615,6655,2897,6655,62,6655,62,6910,2897,6910,7615,6910,11289,6910,11845,6910,11845,6655xe" filled="true" fillcolor="#f4f4f4" stroked="false">
              <v:path arrowok="t"/>
              <v:fill type="solid"/>
            </v:shape>
            <v:rect style="position:absolute;left:2897;top:6887;width:4718;height:23" id="docshape30" filled="true" fillcolor="#dcdcdc" stroked="false">
              <v:fill type="solid"/>
            </v:rect>
            <v:line style="position:absolute" from="2909,6898" to="7604,6898" stroked="true" strokeweight="0pt" strokecolor="#dcdcdc">
              <v:stroke dashstyle="solid"/>
            </v:line>
            <v:rect style="position:absolute;left:7615;top:6887;width:3675;height:23" id="docshape31" filled="true" fillcolor="#dcdcdc" stroked="false">
              <v:fill type="solid"/>
            </v:rect>
            <v:line style="position:absolute" from="7626,6898" to="11278,6898" stroked="true" strokeweight="0pt" strokecolor="#dcdcdc">
              <v:stroke dashstyle="solid"/>
            </v:line>
            <v:shape style="position:absolute;left:62;top:6909;width:11783;height:766" id="docshape32" coordorigin="62,6910" coordsize="11783,766" path="m11845,6910l11289,6910,7615,6910,2897,6910,62,6910,62,7165,62,7675,2897,7675,7615,7675,11289,7675,11845,7675,11845,7165,11845,6910xe" filled="true" fillcolor="#f4f4f4" stroked="false">
              <v:path arrowok="t"/>
              <v:fill type="solid"/>
            </v:shape>
            <v:rect style="position:absolute;left:2897;top:7652;width:4718;height:23" id="docshape33" filled="true" fillcolor="#dcdcdc" stroked="false">
              <v:fill type="solid"/>
            </v:rect>
            <v:line style="position:absolute" from="2909,7664" to="7604,7664" stroked="true" strokeweight="0pt" strokecolor="#dcdcdc">
              <v:stroke dashstyle="solid"/>
            </v:line>
            <v:rect style="position:absolute;left:7615;top:7652;width:3675;height:23" id="docshape34" filled="true" fillcolor="#dcdcdc" stroked="false">
              <v:fill type="solid"/>
            </v:rect>
            <v:line style="position:absolute" from="7626,7664" to="11278,7664" stroked="true" strokeweight="0pt" strokecolor="#dcdcdc">
              <v:stroke dashstyle="solid"/>
            </v:line>
            <v:shape style="position:absolute;left:62;top:7675;width:11783;height:539" id="docshape35" coordorigin="62,7675" coordsize="11783,539" path="m11845,7675l11289,7675,7615,7675,2897,7675,62,7675,62,8214,2897,8214,7615,8214,11289,8214,11845,8214,11845,7675xe" filled="true" fillcolor="#f4f4f4" stroked="false">
              <v:path arrowok="t"/>
              <v:fill type="solid"/>
            </v:shape>
            <v:rect style="position:absolute;left:2897;top:8191;width:4718;height:23" id="docshape36" filled="true" fillcolor="#dcdcdc" stroked="false">
              <v:fill type="solid"/>
            </v:rect>
            <v:line style="position:absolute" from="2909,8202" to="7604,8202" stroked="true" strokeweight="0pt" strokecolor="#dcdcdc">
              <v:stroke dashstyle="solid"/>
            </v:line>
            <v:rect style="position:absolute;left:7615;top:8191;width:3675;height:23" id="docshape37" filled="true" fillcolor="#dcdcdc" stroked="false">
              <v:fill type="solid"/>
            </v:rect>
            <v:line style="position:absolute" from="7626,8202" to="11278,8202" stroked="true" strokeweight="0pt" strokecolor="#dcdcdc">
              <v:stroke dashstyle="solid"/>
            </v:line>
            <v:shape style="position:absolute;left:62;top:8213;width:11783;height:256" id="docshape38" coordorigin="62,8214" coordsize="11783,256" path="m11845,8214l11289,8214,7615,8214,2897,8214,62,8214,62,8469,2897,8469,7615,8469,11289,8469,11845,8469,11845,8214xe" filled="true" fillcolor="#f4f4f4" stroked="false">
              <v:path arrowok="t"/>
              <v:fill type="solid"/>
            </v:shape>
            <v:rect style="position:absolute;left:2897;top:8446;width:4718;height:23" id="docshape39" filled="true" fillcolor="#dcdcdc" stroked="false">
              <v:fill type="solid"/>
            </v:rect>
            <v:line style="position:absolute" from="2909,8458" to="7604,8458" stroked="true" strokeweight="0pt" strokecolor="#dcdcdc">
              <v:stroke dashstyle="solid"/>
            </v:line>
            <v:rect style="position:absolute;left:7615;top:8446;width:3675;height:23" id="docshape40" filled="true" fillcolor="#dcdcdc" stroked="false">
              <v:fill type="solid"/>
            </v:rect>
            <v:line style="position:absolute" from="7626,8458" to="11278,8458" stroked="true" strokeweight="0pt" strokecolor="#dcdcdc">
              <v:stroke dashstyle="solid"/>
            </v:line>
            <v:shape style="position:absolute;left:62;top:8468;width:11783;height:256" id="docshape41" coordorigin="62,8469" coordsize="11783,256" path="m11845,8469l11289,8469,7615,8469,2897,8469,62,8469,62,8724,2897,8724,7615,8724,11289,8724,11845,8724,11845,8469xe" filled="true" fillcolor="#f4f4f4" stroked="false">
              <v:path arrowok="t"/>
              <v:fill type="solid"/>
            </v:shape>
            <v:rect style="position:absolute;left:2897;top:8701;width:4718;height:23" id="docshape42" filled="true" fillcolor="#dcdcdc" stroked="false">
              <v:fill type="solid"/>
            </v:rect>
            <v:line style="position:absolute" from="2909,8713" to="7604,8713" stroked="true" strokeweight="0pt" strokecolor="#dcdcdc">
              <v:stroke dashstyle="solid"/>
            </v:line>
            <v:rect style="position:absolute;left:7615;top:8701;width:3675;height:23" id="docshape43" filled="true" fillcolor="#dcdcdc" stroked="false">
              <v:fill type="solid"/>
            </v:rect>
            <v:line style="position:absolute" from="7626,8713" to="11278,8713" stroked="true" strokeweight="0pt" strokecolor="#dcdcdc">
              <v:stroke dashstyle="solid"/>
            </v:line>
            <v:shape style="position:absolute;left:62;top:8724;width:11783;height:539" id="docshape44" coordorigin="62,8724" coordsize="11783,539" path="m11845,8724l11289,8724,7615,8724,2897,8724,62,8724,62,9263,2897,9263,7615,9263,11289,9263,11845,9263,11845,8724xe" filled="true" fillcolor="#f4f4f4" stroked="false">
              <v:path arrowok="t"/>
              <v:fill type="solid"/>
            </v:shape>
            <v:rect style="position:absolute;left:2897;top:9240;width:4718;height:23" id="docshape45" filled="true" fillcolor="#dcdcdc" stroked="false">
              <v:fill type="solid"/>
            </v:rect>
            <v:line style="position:absolute" from="2909,9251" to="7604,9251" stroked="true" strokeweight="0pt" strokecolor="#dcdcdc">
              <v:stroke dashstyle="solid"/>
            </v:line>
            <v:rect style="position:absolute;left:7615;top:9240;width:3675;height:23" id="docshape46" filled="true" fillcolor="#dcdcdc" stroked="false">
              <v:fill type="solid"/>
            </v:rect>
            <v:line style="position:absolute" from="7626,9251" to="11278,9251" stroked="true" strokeweight="0pt" strokecolor="#dcdcdc">
              <v:stroke dashstyle="solid"/>
            </v:line>
            <v:shape style="position:absolute;left:62;top:9262;width:11783;height:256" id="docshape47" coordorigin="62,9263" coordsize="11783,256" path="m11845,9263l11289,9263,7615,9263,2897,9263,62,9263,62,9518,2897,9518,7615,9518,11289,9518,11845,9518,11845,9263xe" filled="true" fillcolor="#f4f4f4" stroked="false">
              <v:path arrowok="t"/>
              <v:fill type="solid"/>
            </v:shape>
            <v:rect style="position:absolute;left:2897;top:9495;width:4718;height:23" id="docshape48" filled="true" fillcolor="#dcdcdc" stroked="false">
              <v:fill type="solid"/>
            </v:rect>
            <v:line style="position:absolute" from="2909,9506" to="7604,9506" stroked="true" strokeweight="0pt" strokecolor="#dcdcdc">
              <v:stroke dashstyle="solid"/>
            </v:line>
            <v:rect style="position:absolute;left:7615;top:9495;width:3675;height:23" id="docshape49" filled="true" fillcolor="#dcdcdc" stroked="false">
              <v:fill type="solid"/>
            </v:rect>
            <v:line style="position:absolute" from="7626,9506" to="11278,9506" stroked="true" strokeweight="0pt" strokecolor="#dcdcdc">
              <v:stroke dashstyle="solid"/>
            </v:line>
            <v:shape style="position:absolute;left:62;top:9517;width:11783;height:256" id="docshape50" coordorigin="62,9518" coordsize="11783,256" path="m11845,9518l11289,9518,7615,9518,2897,9518,62,9518,62,9773,2897,9773,7615,9773,11289,9773,11845,9773,11845,9518xe" filled="true" fillcolor="#f4f4f4" stroked="false">
              <v:path arrowok="t"/>
              <v:fill type="solid"/>
            </v:shape>
            <v:rect style="position:absolute;left:2897;top:9750;width:4718;height:23" id="docshape51" filled="true" fillcolor="#dcdcdc" stroked="false">
              <v:fill type="solid"/>
            </v:rect>
            <v:line style="position:absolute" from="2909,9762" to="7604,9762" stroked="true" strokeweight="0pt" strokecolor="#dcdcdc">
              <v:stroke dashstyle="solid"/>
            </v:line>
            <v:rect style="position:absolute;left:7615;top:9750;width:3675;height:23" id="docshape52" filled="true" fillcolor="#dcdcdc" stroked="false">
              <v:fill type="solid"/>
            </v:rect>
            <v:line style="position:absolute" from="7626,9762" to="11278,9762" stroked="true" strokeweight="0pt" strokecolor="#dcdcdc">
              <v:stroke dashstyle="solid"/>
            </v:line>
            <v:rect style="position:absolute;left:62;top:9772;width:11772;height:397" id="docshape53" filled="true" fillcolor="#f4f4f4" stroked="false">
              <v:fill type="solid"/>
            </v:rect>
            <v:shape style="position:absolute;left:572;top:2243;width:10096;height:806" type="#_x0000_t202" id="docshape5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verre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80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en</w:t>
                    </w:r>
                  </w:p>
                  <w:p>
                    <w:pPr>
                      <w:spacing w:line="237" w:lineRule="auto" w:before="1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affleurant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plafond.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amortisseur.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plafond. Hauteur d’installation minimale. Solution de porte à galandage.</w:t>
                    </w:r>
                  </w:p>
                </w:txbxContent>
              </v:textbox>
              <w10:wrap type="none"/>
            </v:shape>
            <v:shape style="position:absolute;left:572;top:3791;width:1420;height:199" type="#_x0000_t202" id="docshape55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791;width:1036;height:199" type="#_x0000_t202" id="docshape56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Esthétique</w:t>
                    </w:r>
                  </w:p>
                </w:txbxContent>
              </v:textbox>
              <w10:wrap type="none"/>
            </v:shape>
            <v:shape style="position:absolute;left:4881;top:3785;width:3340;height:199" type="#_x0000_t202" id="docshape5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Capuchons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dans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différentes</w:t>
                    </w:r>
                    <w:r>
                      <w:rPr>
                        <w:spacing w:val="-2"/>
                        <w:sz w:val="20"/>
                      </w:rPr>
                      <w:t> versions</w:t>
                    </w:r>
                  </w:p>
                </w:txbxContent>
              </v:textbox>
              <w10:wrap type="none"/>
            </v:shape>
            <v:shape style="position:absolute;left:3464;top:4307;width:7169;height:431" type="#_x0000_t202" id="docshape58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8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Productivité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Réglage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porte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simple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via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les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deux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suspensions</w:t>
                    </w:r>
                    <w:r>
                      <w:rPr>
                        <w:spacing w:val="-7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sur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porte</w:t>
                    </w:r>
                  </w:p>
                  <w:p>
                    <w:pPr>
                      <w:spacing w:line="230" w:lineRule="exact" w:before="0"/>
                      <w:ind w:left="14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entièrement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montée</w:t>
                    </w:r>
                  </w:p>
                </w:txbxContent>
              </v:textbox>
              <w10:wrap type="none"/>
            </v:shape>
            <v:shape style="position:absolute;left:572;top:5169;width:5773;height:2365" type="#_x0000_t202" id="docshape59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9"/>
                      <w:ind w:left="2324" w:right="118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la porte Max. Largeur de porte 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  <w:p>
                    <w:pPr>
                      <w:spacing w:before="132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Couleur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finition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profilés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visibles</w:t>
                    </w:r>
                  </w:p>
                </w:txbxContent>
              </v:textbox>
              <w10:wrap type="none"/>
            </v:shape>
            <v:shape style="position:absolute;left:7615;top:5169;width:3633;height:2495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8–12.7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1470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28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Oui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Verre</w:t>
                    </w:r>
                  </w:p>
                  <w:p>
                    <w:pPr>
                      <w:spacing w:line="261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anodisé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aluminium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d’aspect </w:t>
                    </w:r>
                    <w:r>
                      <w:rPr>
                        <w:spacing w:val="-4"/>
                        <w:sz w:val="20"/>
                      </w:rPr>
                      <w:t>inox</w:t>
                    </w:r>
                  </w:p>
                </w:txbxContent>
              </v:textbox>
              <w10:wrap type="none"/>
            </v:shape>
            <v:shape style="position:absolute;left:572;top:8015;width:1886;height:199" type="#_x0000_t202" id="docshape61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8004;width:2639;height:709" type="#_x0000_t202" id="docshape6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plafond</w:t>
                    </w:r>
                  </w:p>
                  <w:p>
                    <w:pPr>
                      <w:spacing w:line="261" w:lineRule="auto" w:before="1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plafond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encastré À roulement en haut</w:t>
                    </w:r>
                  </w:p>
                </w:txbxContent>
              </v:textbox>
              <w10:wrap type="none"/>
            </v:shape>
            <v:shape style="position:absolute;left:7615;top:8004;width:325;height:709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9052;width:5928;height:709" type="#_x0000_t202" id="docshape64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9052;width:325;height:709" type="#_x0000_t202" id="docshape6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3"/>
        </w:rPr>
      </w:pPr>
    </w:p>
    <w:p>
      <w:pPr>
        <w:pStyle w:val="BodyText"/>
        <w:tabs>
          <w:tab w:pos="2461" w:val="left" w:leader="none"/>
        </w:tabs>
        <w:spacing w:before="47"/>
        <w:ind w:left="2461" w:right="113" w:hanging="2349"/>
      </w:pPr>
      <w:r>
        <w:rPr>
          <w:b/>
          <w:position w:val="1"/>
        </w:rPr>
        <w:t>Tests réalisés</w:t>
        <w:tab/>
      </w:r>
      <w:r>
        <w:rPr/>
        <w:t>Serrures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bâtiment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portes</w:t>
      </w:r>
      <w:r>
        <w:rPr>
          <w:spacing w:val="-3"/>
        </w:rPr>
        <w:t> </w:t>
      </w:r>
      <w:r>
        <w:rPr/>
        <w:t>coulissantes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pliantes</w:t>
      </w:r>
      <w:r>
        <w:rPr>
          <w:spacing w:val="-3"/>
        </w:rPr>
        <w:t> </w:t>
      </w:r>
      <w:r>
        <w:rPr/>
        <w:t>selon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1527/ </w:t>
      </w:r>
      <w:r>
        <w:rPr>
          <w:spacing w:val="-4"/>
        </w:rPr>
        <w:t>2013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" w:after="0"/>
        <w:ind w:left="2617" w:right="0" w:hanging="157"/>
        <w:jc w:val="left"/>
        <w:rPr>
          <w:sz w:val="20"/>
        </w:rPr>
      </w:pPr>
      <w:r>
        <w:rPr>
          <w:sz w:val="20"/>
        </w:rPr>
        <w:t>Durée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fonctionnalité</w:t>
      </w:r>
      <w:r>
        <w:rPr>
          <w:spacing w:val="-7"/>
          <w:sz w:val="20"/>
        </w:rPr>
        <w:t> </w:t>
      </w:r>
      <w:r>
        <w:rPr>
          <w:sz w:val="20"/>
        </w:rPr>
        <w:t>:</w:t>
      </w:r>
      <w:r>
        <w:rPr>
          <w:spacing w:val="-7"/>
          <w:sz w:val="20"/>
        </w:rPr>
        <w:t> </w:t>
      </w:r>
      <w:r>
        <w:rPr>
          <w:sz w:val="20"/>
        </w:rPr>
        <w:t>catégorie</w:t>
      </w:r>
      <w:r>
        <w:rPr>
          <w:spacing w:val="-7"/>
          <w:sz w:val="20"/>
        </w:rPr>
        <w:t> </w:t>
      </w:r>
      <w:r>
        <w:rPr>
          <w:sz w:val="20"/>
        </w:rPr>
        <w:t>6</w:t>
      </w:r>
      <w:r>
        <w:rPr>
          <w:spacing w:val="-7"/>
          <w:sz w:val="20"/>
        </w:rPr>
        <w:t> </w:t>
      </w:r>
      <w:r>
        <w:rPr>
          <w:sz w:val="20"/>
        </w:rPr>
        <w:t>(catégorie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plus</w:t>
      </w:r>
      <w:r>
        <w:rPr>
          <w:spacing w:val="-6"/>
          <w:sz w:val="20"/>
        </w:rPr>
        <w:t> </w:t>
      </w:r>
      <w:r>
        <w:rPr>
          <w:sz w:val="20"/>
        </w:rPr>
        <w:t>élevée</w:t>
      </w:r>
      <w:r>
        <w:rPr>
          <w:spacing w:val="-7"/>
          <w:sz w:val="20"/>
        </w:rPr>
        <w:t> </w:t>
      </w:r>
      <w:r>
        <w:rPr>
          <w:sz w:val="20"/>
        </w:rPr>
        <w:t>=</w:t>
      </w:r>
      <w:r>
        <w:rPr>
          <w:spacing w:val="-7"/>
          <w:sz w:val="20"/>
        </w:rPr>
        <w:t> </w:t>
      </w:r>
      <w:r>
        <w:rPr>
          <w:sz w:val="20"/>
        </w:rPr>
        <w:t>100’000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cycles)</w:t>
      </w:r>
    </w:p>
    <w:p>
      <w:pPr>
        <w:pStyle w:val="BodyText"/>
        <w:spacing w:before="4"/>
      </w:pPr>
    </w:p>
    <w:p>
      <w:pPr>
        <w:pStyle w:val="BodyText"/>
        <w:ind w:left="2461"/>
      </w:pPr>
      <w:r>
        <w:rPr/>
        <w:t>Ferrures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meuble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Résistance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solidité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portes</w:t>
      </w:r>
      <w:r>
        <w:rPr>
          <w:spacing w:val="-3"/>
        </w:rPr>
        <w:t> </w:t>
      </w:r>
      <w:r>
        <w:rPr/>
        <w:t>coulissantes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volets roulants selon EN 15706/2009</w:t>
      </w: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75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2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before="46"/>
        <w:ind w:left="2461" w:right="633" w:hanging="2349"/>
      </w:pPr>
      <w:r>
        <w:rPr>
          <w:b/>
          <w:position w:val="1"/>
        </w:rPr>
        <w:t>Version du produit</w:t>
        <w:tab/>
      </w:r>
      <w:r>
        <w:rPr/>
        <w:t>Hawa Junior 80 GP Pocket composé d'un rail de roulement (épaisseur de la paroi en aluminium</w:t>
      </w:r>
      <w:r>
        <w:rPr>
          <w:spacing w:val="-4"/>
        </w:rPr>
        <w:t> </w:t>
      </w:r>
      <w:r>
        <w:rPr/>
        <w:t>2,9</w:t>
      </w:r>
      <w:r>
        <w:rPr>
          <w:spacing w:val="-5"/>
        </w:rPr>
        <w:t> </w:t>
      </w:r>
      <w:r>
        <w:rPr/>
        <w:t>mm),</w:t>
      </w:r>
      <w:r>
        <w:rPr>
          <w:spacing w:val="-5"/>
        </w:rPr>
        <w:t> </w:t>
      </w:r>
      <w:r>
        <w:rPr/>
        <w:t>chariots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palier,</w:t>
      </w:r>
      <w:r>
        <w:rPr>
          <w:spacing w:val="-5"/>
        </w:rPr>
        <w:t> </w:t>
      </w:r>
      <w:r>
        <w:rPr/>
        <w:t>butée,</w:t>
      </w:r>
      <w:r>
        <w:rPr>
          <w:spacing w:val="-5"/>
        </w:rPr>
        <w:t> </w:t>
      </w:r>
      <w:r>
        <w:rPr/>
        <w:t>butée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ressort</w:t>
      </w:r>
      <w:r>
        <w:rPr>
          <w:spacing w:val="-5"/>
        </w:rPr>
        <w:t> </w:t>
      </w:r>
      <w:r>
        <w:rPr/>
        <w:t>ou</w:t>
      </w:r>
      <w:r>
        <w:rPr>
          <w:spacing w:val="-5"/>
        </w:rPr>
        <w:t> </w:t>
      </w:r>
      <w:r>
        <w:rPr/>
        <w:t>amortisseur</w:t>
      </w:r>
      <w:r>
        <w:rPr>
          <w:spacing w:val="-4"/>
        </w:rPr>
        <w:t> </w:t>
      </w:r>
      <w:r>
        <w:rPr/>
        <w:t>SoftMove</w:t>
      </w:r>
      <w:r>
        <w:rPr>
          <w:spacing w:val="-4"/>
        </w:rPr>
        <w:t> </w:t>
      </w:r>
      <w:r>
        <w:rPr/>
        <w:t>80, Suspension du verre avec fixation par points, guidage au sol sans jeu.</w:t>
      </w:r>
    </w:p>
    <w:p>
      <w:pPr>
        <w:pStyle w:val="BodyText"/>
      </w:pPr>
    </w:p>
    <w:p>
      <w:pPr>
        <w:pStyle w:val="BodyText"/>
        <w:ind w:left="2461"/>
      </w:pPr>
      <w:r>
        <w:rPr/>
        <w:t>En</w:t>
      </w:r>
      <w:r>
        <w:rPr>
          <w:spacing w:val="-9"/>
        </w:rPr>
        <w:t> </w:t>
      </w:r>
      <w:r>
        <w:rPr/>
        <w:t>option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tabs>
          <w:tab w:pos="2732" w:val="left" w:leader="dot"/>
        </w:tabs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Set</w:t>
      </w:r>
      <w:r>
        <w:rPr>
          <w:spacing w:val="-6"/>
        </w:rPr>
        <w:t> </w:t>
      </w:r>
      <w:r>
        <w:rPr/>
        <w:t>pour</w:t>
      </w:r>
      <w:r>
        <w:rPr>
          <w:spacing w:val="-5"/>
        </w:rPr>
        <w:t> </w:t>
      </w:r>
      <w:r>
        <w:rPr/>
        <w:t>montage</w:t>
      </w:r>
      <w:r>
        <w:rPr>
          <w:spacing w:val="-5"/>
        </w:rPr>
        <w:t> </w:t>
      </w:r>
      <w:r>
        <w:rPr/>
        <w:t>et</w:t>
      </w:r>
      <w:r>
        <w:rPr>
          <w:spacing w:val="-6"/>
        </w:rPr>
        <w:t> </w:t>
      </w:r>
      <w:r>
        <w:rPr/>
        <w:t>démontage</w:t>
      </w:r>
      <w:r>
        <w:rPr>
          <w:spacing w:val="-5"/>
        </w:rPr>
        <w:t> </w:t>
      </w:r>
      <w:r>
        <w:rPr/>
        <w:t>du</w:t>
      </w:r>
      <w:r>
        <w:rPr>
          <w:spacing w:val="-6"/>
        </w:rPr>
        <w:t> </w:t>
      </w:r>
      <w:r>
        <w:rPr/>
        <w:t>rail,</w:t>
      </w:r>
      <w:r>
        <w:rPr>
          <w:spacing w:val="-5"/>
        </w:rPr>
        <w:t> </w:t>
      </w:r>
      <w:r>
        <w:rPr>
          <w:spacing w:val="-2"/>
        </w:rPr>
        <w:t>aluminium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9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2"/>
        </w:numPr>
        <w:tabs>
          <w:tab w:pos="2594" w:val="left" w:leader="none"/>
        </w:tabs>
        <w:spacing w:line="232" w:lineRule="exact" w:before="0" w:after="0"/>
        <w:ind w:left="2593" w:right="0" w:hanging="133"/>
        <w:jc w:val="left"/>
        <w:rPr>
          <w:sz w:val="20"/>
        </w:rPr>
      </w:pPr>
      <w:r>
        <w:rPr>
          <w:sz w:val="20"/>
        </w:rPr>
        <w:t>Usinage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z w:val="20"/>
        </w:rPr>
        <w:t>verre</w:t>
      </w:r>
      <w:r>
        <w:rPr>
          <w:spacing w:val="-6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supports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verre</w:t>
      </w:r>
    </w:p>
    <w:p>
      <w:pPr>
        <w:pStyle w:val="ListParagraph"/>
        <w:numPr>
          <w:ilvl w:val="0"/>
          <w:numId w:val="2"/>
        </w:numPr>
        <w:tabs>
          <w:tab w:pos="2594" w:val="left" w:leader="none"/>
        </w:tabs>
        <w:spacing w:line="233" w:lineRule="exact" w:before="0" w:after="0"/>
        <w:ind w:left="2593" w:right="0" w:hanging="133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7"/>
          <w:sz w:val="20"/>
        </w:rPr>
        <w:t> </w:t>
      </w:r>
      <w:r>
        <w:rPr>
          <w:sz w:val="20"/>
        </w:rPr>
        <w:t>pour</w:t>
      </w:r>
      <w:r>
        <w:rPr>
          <w:spacing w:val="-6"/>
          <w:sz w:val="20"/>
        </w:rPr>
        <w:t> </w:t>
      </w:r>
      <w:r>
        <w:rPr>
          <w:sz w:val="20"/>
        </w:rPr>
        <w:t>paroi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verre</w:t>
      </w:r>
      <w:r>
        <w:rPr>
          <w:spacing w:val="-6"/>
          <w:sz w:val="20"/>
        </w:rPr>
        <w:t> </w:t>
      </w:r>
      <w:r>
        <w:rPr>
          <w:sz w:val="20"/>
        </w:rPr>
        <w:t>solidaire</w:t>
      </w:r>
      <w:r>
        <w:rPr>
          <w:spacing w:val="-6"/>
          <w:sz w:val="20"/>
        </w:rPr>
        <w:t> </w:t>
      </w:r>
      <w:r>
        <w:rPr>
          <w:sz w:val="20"/>
        </w:rPr>
        <w:t>avec</w:t>
      </w:r>
      <w:r>
        <w:rPr>
          <w:spacing w:val="-5"/>
          <w:sz w:val="20"/>
        </w:rPr>
        <w:t> </w:t>
      </w:r>
      <w:r>
        <w:rPr>
          <w:sz w:val="20"/>
        </w:rPr>
        <w:t>fixation</w:t>
      </w:r>
      <w:r>
        <w:rPr>
          <w:spacing w:val="-7"/>
          <w:sz w:val="20"/>
        </w:rPr>
        <w:t> </w:t>
      </w:r>
      <w:r>
        <w:rPr>
          <w:sz w:val="20"/>
        </w:rPr>
        <w:t>par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points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Kit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montage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Le</w:t>
      </w:r>
      <w:r>
        <w:rPr>
          <w:spacing w:val="-7"/>
          <w:sz w:val="20"/>
        </w:rPr>
        <w:t> </w:t>
      </w:r>
      <w:r>
        <w:rPr>
          <w:sz w:val="20"/>
        </w:rPr>
        <w:t>profil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logement</w:t>
      </w:r>
      <w:r>
        <w:rPr>
          <w:spacing w:val="-7"/>
          <w:sz w:val="20"/>
        </w:rPr>
        <w:t> </w:t>
      </w:r>
      <w:r>
        <w:rPr>
          <w:sz w:val="20"/>
        </w:rPr>
        <w:t>est</w:t>
      </w:r>
      <w:r>
        <w:rPr>
          <w:spacing w:val="-7"/>
          <w:sz w:val="20"/>
        </w:rPr>
        <w:t> </w:t>
      </w:r>
      <w:r>
        <w:rPr>
          <w:sz w:val="20"/>
        </w:rPr>
        <w:t>posé</w:t>
      </w:r>
      <w:r>
        <w:rPr>
          <w:spacing w:val="-6"/>
          <w:sz w:val="20"/>
        </w:rPr>
        <w:t> </w:t>
      </w:r>
      <w:r>
        <w:rPr>
          <w:sz w:val="20"/>
        </w:rPr>
        <w:t>pendant</w:t>
      </w:r>
      <w:r>
        <w:rPr>
          <w:spacing w:val="-7"/>
          <w:sz w:val="20"/>
        </w:rPr>
        <w:t> </w:t>
      </w:r>
      <w:r>
        <w:rPr>
          <w:sz w:val="20"/>
        </w:rPr>
        <w:t>l’installation</w:t>
      </w:r>
      <w:r>
        <w:rPr>
          <w:spacing w:val="-7"/>
          <w:sz w:val="20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z w:val="20"/>
        </w:rPr>
        <w:t>système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galandage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Structure</w:t>
      </w:r>
      <w:r>
        <w:rPr>
          <w:spacing w:val="-9"/>
        </w:rPr>
        <w:t> </w:t>
      </w:r>
      <w:r>
        <w:rPr/>
        <w:t>à</w:t>
      </w:r>
      <w:r>
        <w:rPr>
          <w:spacing w:val="-8"/>
        </w:rPr>
        <w:t> </w:t>
      </w:r>
      <w:r>
        <w:rPr>
          <w:spacing w:val="-2"/>
        </w:rPr>
        <w:t>galandage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structure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galandage</w:t>
      </w:r>
      <w:r>
        <w:rPr>
          <w:spacing w:val="-6"/>
          <w:sz w:val="20"/>
        </w:rPr>
        <w:t> </w:t>
      </w:r>
      <w:r>
        <w:rPr>
          <w:sz w:val="20"/>
        </w:rPr>
        <w:t>doit</w:t>
      </w:r>
      <w:r>
        <w:rPr>
          <w:spacing w:val="-6"/>
          <w:sz w:val="20"/>
        </w:rPr>
        <w:t> </w:t>
      </w:r>
      <w:r>
        <w:rPr>
          <w:sz w:val="20"/>
        </w:rPr>
        <w:t>être</w:t>
      </w:r>
      <w:r>
        <w:rPr>
          <w:spacing w:val="-5"/>
          <w:sz w:val="20"/>
        </w:rPr>
        <w:t> </w:t>
      </w:r>
      <w:r>
        <w:rPr>
          <w:sz w:val="20"/>
        </w:rPr>
        <w:t>réalisée</w:t>
      </w:r>
      <w:r>
        <w:rPr>
          <w:spacing w:val="-6"/>
          <w:sz w:val="20"/>
        </w:rPr>
        <w:t> </w:t>
      </w:r>
      <w:r>
        <w:rPr>
          <w:sz w:val="20"/>
        </w:rPr>
        <w:t>sur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place</w:t>
      </w:r>
    </w:p>
    <w:sectPr>
      <w:pgSz w:w="11910" w:h="16840"/>
      <w:pgMar w:header="401" w:footer="1105" w:top="1960" w:bottom="130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57.4pt;height:35.2pt;mso-position-horizontal-relative:page;mso-position-vertical-relative:page;z-index:-15860736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60224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4208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4720">
          <wp:simplePos x="0" y="0"/>
          <wp:positionH relativeFrom="page">
            <wp:posOffset>5134364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9.466766pt;margin-top:68.660667pt;width:75.8pt;height:13.95pt;mso-position-horizontal-relative:page;mso-position-vertical-relative:page;z-index:-15861248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80</w:t>
                </w:r>
                <w:r>
                  <w:rPr>
                    <w:color w:val="003C78"/>
                    <w:spacing w:val="-5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GP</w:t>
                </w:r>
                <w:r>
                  <w:rPr>
                    <w:color w:val="003C78"/>
                    <w:spacing w:val="-5"/>
                    <w:sz w:val="24"/>
                  </w:rPr>
                  <w:t> </w:t>
                </w:r>
                <w:r>
                  <w:rPr>
                    <w:color w:val="003C78"/>
                    <w:spacing w:val="-2"/>
                    <w:sz w:val="24"/>
                  </w:rPr>
                  <w:t>Pocket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2593" w:hanging="132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42" w:hanging="13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85" w:hanging="13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28" w:hanging="13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71" w:hanging="13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814" w:hanging="13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657" w:hanging="13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500" w:hanging="13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343" w:hanging="132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60" w:hanging="1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301" w:hanging="1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42" w:hanging="1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83" w:hanging="1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824" w:hanging="1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665" w:hanging="1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506" w:hanging="1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347" w:hanging="156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line="238" w:lineRule="exact"/>
      <w:ind w:left="2461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line="232" w:lineRule="exact"/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2023-03-07T07:53:34Z</dcterms:created>
  <dcterms:modified xsi:type="dcterms:W3CDTF">2023-03-07T07:53:34Z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