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-6832" coordorigin="62,1983" coordsize="11783,787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766" coordorigin="62,6853" coordsize="11783,766" path="m11845,6853l11289,6853,7615,6853,2897,6853,62,6853,62,7108,62,7618,2897,7618,7615,7618,11289,7618,11845,7618,11845,7108,11845,685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539" coordorigin="62,8667" coordsize="11783,539" path="m11845,8667l11289,8667,7615,8667,2897,8667,62,8667,62,9206,2897,9206,7615,9206,11289,9206,11845,9206,11845,8667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coordorigin="62,9206" coordsize="11783,256" path="m11845,9206l11289,9206,7615,9206,2897,9206,62,9206,62,9461,2897,9461,7615,9461,11289,9461,11845,9461,11845,9206e" filled="true" fillcolor="#f4f4f4" stroked="false">
              <v:path arrowok="t"/>
              <v:fill type="solid"/>
            </v:shape>
            <v:rect style="position:absolute;left:2897;top:9438;width:4718;height:23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filled="true" fillcolor="#f4f4f4" stroked="false">
              <v:fill type="solid"/>
            </v:rect>
            <v:shape style="position:absolute;left:572;top:2243;width:1040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70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guidage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en applique ou affleurant avec le plafond. Montage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0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Guidage de sol inférieur amorti sur rail de guidage continu offrant 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qualités de roulement stables et silencieuses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5989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Rails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filigranés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d'installation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 exigences de conception élevées</w:t>
                    </w:r>
                  </w:p>
                </w:txbxContent>
              </v:textbox>
              <w10:wrap type="none"/>
            </v:shape>
            <v:shape style="position:absolute;left:572;top:5112;width:5773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 Hauteur de la porte Max. Largeur de porte Hauteur max. d`ouverture Réglage en hauteur Amortissement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Materiau de la porte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4;top:5112;width:323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Non</w:t>
                    </w:r>
                  </w:p>
                  <w:p>
                    <w:pPr>
                      <w:spacing w:line="261" w:lineRule="auto" w:before="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Bois;Verre;Bois Verre Mix Aluminium brut;Aluminium anodisé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 aluminium d’aspect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7958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947;width:263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22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947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996;width:5927;height:45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</w:t>
                    </w:r>
                  </w:p>
                </w:txbxContent>
              </v:textbox>
              <w10:wrap type="none"/>
            </v:shape>
            <v:shape style="position:absolute;left:7615;top:8996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73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113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Ordena 70 F composée de, rail de roulement, chariot avec galets à roulement à billes, 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bois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verre,</w:t>
      </w:r>
      <w:r>
        <w:rPr>
          <w:spacing w:val="-3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blocage, guidage au sol à ressort, rail de</w:t>
      </w:r>
      <w:r>
        <w:rPr>
          <w:spacing w:val="-8"/>
        </w:rPr>
        <w:t> </w:t>
      </w:r>
      <w:r>
        <w:rPr/>
        <w:t>guidage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Rail de roulement</w:t>
      </w:r>
      <w:r>
        <w:rPr>
          <w:spacing w:val="-6"/>
        </w:rPr>
        <w:t> </w:t>
      </w:r>
      <w:r>
        <w:rPr/>
        <w:t>double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Rail de guidage</w:t>
      </w:r>
      <w:r>
        <w:rPr>
          <w:spacing w:val="-5"/>
        </w:rPr>
        <w:t> </w:t>
      </w:r>
      <w:r>
        <w:rPr/>
        <w:t>double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2"/>
        </w:rPr>
        <w:t> </w:t>
      </w:r>
      <w:r>
        <w:rPr/>
        <w:t>Caches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Profil de jointure</w:t>
      </w:r>
      <w:r>
        <w:rPr>
          <w:spacing w:val="-5"/>
        </w:rPr>
        <w:t> </w:t>
      </w:r>
      <w:r>
        <w:rPr/>
        <w:t>murale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Protection du chant de</w:t>
      </w:r>
      <w:r>
        <w:rPr>
          <w:spacing w:val="-6"/>
        </w:rPr>
        <w:t> </w:t>
      </w:r>
      <w:r>
        <w:rPr/>
        <w:t>verre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 porte</w:t>
      </w:r>
      <w:r>
        <w:rPr>
          <w:spacing w:val="-2"/>
        </w:rPr>
        <w:t> </w:t>
      </w:r>
      <w:r>
        <w:rPr/>
        <w:t>bois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 pour boîtier (H × l) 25 × 20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du boîtier par</w:t>
      </w:r>
      <w:r>
        <w:rPr>
          <w:spacing w:val="-3"/>
          <w:sz w:val="20"/>
        </w:rPr>
        <w:t> </w:t>
      </w:r>
      <w:r>
        <w:rPr>
          <w:sz w:val="20"/>
        </w:rPr>
        <w:t>vis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Guidage au sol percé en bas Ø 12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Panneau de porte verre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 du verre pour supports de</w:t>
      </w:r>
      <w:r>
        <w:rPr>
          <w:spacing w:val="-3"/>
          <w:sz w:val="20"/>
        </w:rPr>
        <w:t> </w:t>
      </w:r>
      <w:r>
        <w:rPr>
          <w:sz w:val="20"/>
        </w:rPr>
        <w:t>verre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647522pt;margin-top:68.660194pt;width:25.3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2023-06-30T13:49:37Z</dcterms:created>
  <dcterms:modified xsi:type="dcterms:W3CDTF">2023-06-30T13:49:37Z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