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1200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pour portes en bois ou verre à roulement en haut jusqu’à 70 kg avec guidage ponctuel. Montage au plafond.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3004" w:val="left" w:leader="none"/>
          <w:tab w:pos="4421" w:val="left" w:leader="none"/>
        </w:tabs>
        <w:spacing w:line="232" w:lineRule="auto" w:before="0"/>
        <w:ind w:left="4421" w:right="768" w:hanging="431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Esthétique</w:t>
        <w:tab/>
      </w:r>
      <w:r>
        <w:rPr>
          <w:position w:val="1"/>
          <w:sz w:val="20"/>
        </w:rPr>
        <w:t>Système guidé par point pour les grandes ouvertures sans rail</w:t>
      </w:r>
      <w:r>
        <w:rPr>
          <w:spacing w:val="-26"/>
          <w:position w:val="1"/>
          <w:sz w:val="20"/>
        </w:rPr>
        <w:t> </w:t>
      </w:r>
      <w:r>
        <w:rPr>
          <w:position w:val="1"/>
          <w:sz w:val="20"/>
        </w:rPr>
        <w:t>de </w:t>
      </w:r>
      <w:r>
        <w:rPr>
          <w:sz w:val="20"/>
        </w:rPr>
        <w:t>guidage</w:t>
      </w:r>
      <w:r>
        <w:rPr>
          <w:spacing w:val="-5"/>
          <w:sz w:val="20"/>
        </w:rPr>
        <w:t> </w:t>
      </w:r>
      <w:r>
        <w:rPr>
          <w:sz w:val="20"/>
        </w:rPr>
        <w:t>continu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401" w:hanging="1418"/>
      </w:pPr>
      <w:r>
        <w:rPr>
          <w:b/>
        </w:rPr>
        <w:t>Flexibilité</w:t>
        <w:tab/>
      </w:r>
      <w:r>
        <w:rPr>
          <w:position w:val="1"/>
        </w:rPr>
        <w:t>Grande flexibilité dans l’aménagement intérieur grâce aux</w:t>
      </w:r>
      <w:r>
        <w:rPr>
          <w:spacing w:val="-38"/>
          <w:position w:val="1"/>
        </w:rPr>
        <w:t> </w:t>
      </w:r>
      <w:r>
        <w:rPr>
          <w:position w:val="1"/>
        </w:rPr>
        <w:t>possibilités </w:t>
      </w:r>
      <w:r>
        <w:rPr/>
        <w:t>de combiner les portes coulissantes en bois et en</w:t>
      </w:r>
      <w:r>
        <w:rPr>
          <w:spacing w:val="-9"/>
        </w:rPr>
        <w:t> </w:t>
      </w:r>
      <w:r>
        <w:rPr/>
        <w:t>verre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Max. Poids de</w:t>
      </w:r>
      <w:r>
        <w:rPr>
          <w:spacing w:val="-8"/>
          <w:position w:val="1"/>
          <w:sz w:val="20"/>
        </w:rPr>
        <w:t> </w:t>
      </w:r>
      <w:r>
        <w:rPr>
          <w:spacing w:val="-3"/>
          <w:position w:val="1"/>
          <w:sz w:val="20"/>
        </w:rPr>
        <w:t>la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porte</w:t>
        <w:tab/>
        <w:t>70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spacing w:line="250" w:lineRule="atLeast" w:before="7"/>
        <w:ind w:left="7157" w:right="1649"/>
      </w:pPr>
      <w:r>
        <w:rPr/>
        <w:t>Bois: 30–40 mm Lunettes possible :</w:t>
      </w:r>
    </w:p>
    <w:p>
      <w:pPr>
        <w:spacing w:after="0" w:line="250" w:lineRule="atLeas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17" w:lineRule="exact"/>
        <w:ind w:left="2437"/>
      </w:pPr>
      <w:r>
        <w:rPr/>
        <w:t>Épaisseur de la porte</w:t>
      </w:r>
    </w:p>
    <w:p>
      <w:pPr>
        <w:pStyle w:val="BodyText"/>
        <w:spacing w:line="254" w:lineRule="auto" w:before="13"/>
        <w:ind w:left="2437"/>
      </w:pPr>
      <w:r>
        <w:rPr/>
        <w:br w:type="column"/>
      </w:r>
      <w:r>
        <w:rPr/>
        <w:t>ESG : Verre de sécurité feuilleté 8/10 mm VSG : sécurité trempé 8.7–10.7 mm</w:t>
      </w:r>
    </w:p>
    <w:p>
      <w:pPr>
        <w:spacing w:after="0" w:line="254" w:lineRule="auto"/>
        <w:sectPr>
          <w:type w:val="continuous"/>
          <w:pgSz w:w="11910" w:h="16840"/>
          <w:pgMar w:top="1700" w:bottom="1300" w:left="460" w:right="440"/>
          <w:cols w:num="2" w:equalWidth="0">
            <w:col w:w="4370" w:space="350"/>
            <w:col w:w="6290"/>
          </w:cols>
        </w:sectPr>
      </w:pPr>
    </w:p>
    <w:p>
      <w:pPr>
        <w:pStyle w:val="BodyText"/>
        <w:tabs>
          <w:tab w:pos="7154" w:val="left" w:leader="none"/>
        </w:tabs>
        <w:spacing w:before="16"/>
        <w:ind w:left="2437"/>
      </w:pPr>
      <w:r>
        <w:rPr/>
        <w:pict>
          <v:group style="position:absolute;margin-left:3.118575pt;margin-top:99.139702pt;width:589.15pt;height:432.05pt;mso-position-horizontal-relative:page;mso-position-vertical-relative:page;z-index:-5608" coordorigin="62,1983" coordsize="11783,864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1021" coordorigin="62,5322" coordsize="11783,1021" path="m11845,5322l11289,5322,7615,5322,2897,5322,62,5322,62,6343,2897,6343,7615,6343,11289,6343,11845,6343,11845,5322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256" coordorigin="62,7363" coordsize="11783,256" path="m11845,7363l11289,7363,7615,7363,2897,7363,62,7363,62,7618,2897,7618,7615,7618,11289,7618,11845,7618,11845,7363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256" coordorigin="62,7618" coordsize="11783,256" path="m11845,7618l11289,7618,7615,7618,2897,7618,62,7618,62,7874,2897,7874,7615,7874,11289,7874,11845,7874,11845,7618e" filled="true" fillcolor="#f4f4f4" stroked="false">
              <v:path arrowok="t"/>
              <v:fill type="solid"/>
            </v:shape>
            <v:rect style="position:absolute;left:2897;top:7850;width:4718;height:23" filled="true" fillcolor="#dcdcdc" stroked="false">
              <v:fill type="solid"/>
            </v:rect>
            <v:line style="position:absolute" from="2909,7862" to="7604,7862" stroked="true" strokeweight="0pt" strokecolor="#dcdcdc">
              <v:stroke dashstyle="solid"/>
            </v:line>
            <v:rect style="position:absolute;left:7615;top:7850;width:3675;height:23" filled="true" fillcolor="#dcdcdc" stroked="false">
              <v:fill type="solid"/>
            </v:rect>
            <v:line style="position:absolute" from="7626,7862" to="11278,7862" stroked="true" strokeweight="0pt" strokecolor="#dcdcdc">
              <v:stroke dashstyle="solid"/>
            </v:line>
            <v:shape style="position:absolute;left:62;top:7873;width:11783;height:511" coordorigin="62,7874" coordsize="11783,511" path="m11845,7874l11289,7874,7615,7874,2897,7874,62,7874,62,8384,2897,8384,7615,8384,11289,8384,11845,8384,11845,7874e" filled="true" fillcolor="#f4f4f4" stroked="false">
              <v:path arrowok="t"/>
              <v:fill type="solid"/>
            </v:shape>
            <v:rect style="position:absolute;left:2897;top:8361;width:4718;height:23" filled="true" fillcolor="#dcdcdc" stroked="false">
              <v:fill type="solid"/>
            </v:rect>
            <v:line style="position:absolute" from="2909,8373" to="7604,8373" stroked="true" strokeweight="0pt" strokecolor="#dcdcdc">
              <v:stroke dashstyle="solid"/>
            </v:line>
            <v:rect style="position:absolute;left:7615;top:8361;width:3675;height:23" filled="true" fillcolor="#dcdcdc" stroked="false">
              <v:fill type="solid"/>
            </v:rect>
            <v:line style="position:absolute" from="7626,8373" to="11278,8373" stroked="true" strokeweight="0pt" strokecolor="#dcdcdc">
              <v:stroke dashstyle="solid"/>
            </v:line>
            <v:shape style="position:absolute;left:62;top:8383;width:11783;height:539" coordorigin="62,8384" coordsize="11783,539" path="m11845,8384l11289,8384,7615,8384,2897,8384,62,8384,62,8923,2897,8923,7615,8923,11289,8923,11845,8923,11845,8384e" filled="true" fillcolor="#f4f4f4" stroked="false">
              <v:path arrowok="t"/>
              <v:fill type="solid"/>
            </v:shape>
            <v:rect style="position:absolute;left:2897;top:8899;width:4718;height:23" filled="true" fillcolor="#dcdcdc" stroked="false">
              <v:fill type="solid"/>
            </v:rect>
            <v:line style="position:absolute" from="2909,8911" to="7604,8911" stroked="true" strokeweight="0pt" strokecolor="#dcdcdc">
              <v:stroke dashstyle="solid"/>
            </v:line>
            <v:rect style="position:absolute;left:7615;top:8899;width:3675;height:23" filled="true" fillcolor="#dcdcdc" stroked="false">
              <v:fill type="solid"/>
            </v:rect>
            <v:line style="position:absolute" from="7626,8911" to="11278,8911" stroked="true" strokeweight="0pt" strokecolor="#dcdcdc">
              <v:stroke dashstyle="solid"/>
            </v:line>
            <v:shape style="position:absolute;left:62;top:8922;width:11783;height:256" coordorigin="62,8923" coordsize="11783,256" path="m11845,8923l11289,8923,7615,8923,2897,8923,62,8923,62,9178,2897,9178,7615,9178,11289,9178,11845,9178,11845,8923e" filled="true" fillcolor="#f4f4f4" stroked="false">
              <v:path arrowok="t"/>
              <v:fill type="solid"/>
            </v:shape>
            <v:rect style="position:absolute;left:2897;top:9154;width:4718;height:23" filled="true" fillcolor="#dcdcdc" stroked="false">
              <v:fill type="solid"/>
            </v:rect>
            <v:line style="position:absolute" from="2909,9166" to="7604,9166" stroked="true" strokeweight="0pt" strokecolor="#dcdcdc">
              <v:stroke dashstyle="solid"/>
            </v:line>
            <v:rect style="position:absolute;left:7615;top:9154;width:3675;height:23" filled="true" fillcolor="#dcdcdc" stroked="false">
              <v:fill type="solid"/>
            </v:rect>
            <v:line style="position:absolute" from="7626,9166" to="11278,9166" stroked="true" strokeweight="0pt" strokecolor="#dcdcdc">
              <v:stroke dashstyle="solid"/>
            </v:line>
            <v:shape style="position:absolute;left:62;top:9177;width:11783;height:256" coordorigin="62,9178" coordsize="11783,256" path="m11845,9178l11289,9178,7615,9178,2897,9178,62,9178,62,9433,2897,9433,7615,9433,11289,9433,11845,9433,11845,9178e" filled="true" fillcolor="#f4f4f4" stroked="false">
              <v:path arrowok="t"/>
              <v:fill type="solid"/>
            </v:shape>
            <v:rect style="position:absolute;left:2897;top:9410;width:4718;height:23" filled="true" fillcolor="#dcdcdc" stroked="false">
              <v:fill type="solid"/>
            </v:rect>
            <v:line style="position:absolute" from="2909,9421" to="7604,9421" stroked="true" strokeweight="0pt" strokecolor="#dcdcdc">
              <v:stroke dashstyle="solid"/>
            </v:line>
            <v:rect style="position:absolute;left:7615;top:9410;width:3675;height:23" filled="true" fillcolor="#dcdcdc" stroked="false">
              <v:fill type="solid"/>
            </v:rect>
            <v:line style="position:absolute" from="7626,9421" to="11278,9421" stroked="true" strokeweight="0pt" strokecolor="#dcdcdc">
              <v:stroke dashstyle="solid"/>
            </v:line>
            <v:shape style="position:absolute;left:62;top:9432;width:11783;height:539" coordorigin="62,9433" coordsize="11783,539" path="m11845,9433l11289,9433,7615,9433,2897,9433,62,9433,62,9971,2897,9971,7615,9971,11289,9971,11845,9971,11845,9433e" filled="true" fillcolor="#f4f4f4" stroked="false">
              <v:path arrowok="t"/>
              <v:fill type="solid"/>
            </v:shape>
            <v:rect style="position:absolute;left:2897;top:9948;width:4718;height:23" filled="true" fillcolor="#dcdcdc" stroked="false">
              <v:fill type="solid"/>
            </v:rect>
            <v:line style="position:absolute" from="2909,9960" to="7604,9960" stroked="true" strokeweight="0pt" strokecolor="#dcdcdc">
              <v:stroke dashstyle="solid"/>
            </v:line>
            <v:rect style="position:absolute;left:7615;top:9948;width:3675;height:23" filled="true" fillcolor="#dcdcdc" stroked="false">
              <v:fill type="solid"/>
            </v:rect>
            <v:line style="position:absolute" from="7626,9960" to="11278,9960" stroked="true" strokeweight="0pt" strokecolor="#dcdcdc">
              <v:stroke dashstyle="solid"/>
            </v:line>
            <v:shape style="position:absolute;left:62;top:9971;width:11783;height:256" coordorigin="62,9971" coordsize="11783,256" path="m11845,9971l11289,9971,7615,9971,2897,9971,62,9971,62,10227,2897,10227,7615,10227,11289,10227,11845,10227,11845,9971e" filled="true" fillcolor="#f4f4f4" stroked="false">
              <v:path arrowok="t"/>
              <v:fill type="solid"/>
            </v:shape>
            <v:rect style="position:absolute;left:2897;top:10203;width:4718;height:23" filled="true" fillcolor="#dcdcdc" stroked="false">
              <v:fill type="solid"/>
            </v:rect>
            <v:line style="position:absolute" from="2909,10215" to="7604,10215" stroked="true" strokeweight="0pt" strokecolor="#dcdcdc">
              <v:stroke dashstyle="solid"/>
            </v:line>
            <v:rect style="position:absolute;left:7615;top:10203;width:3675;height:23" filled="true" fillcolor="#dcdcdc" stroked="false">
              <v:fill type="solid"/>
            </v:rect>
            <v:line style="position:absolute" from="7626,10215" to="11278,10215" stroked="true" strokeweight="0pt" strokecolor="#dcdcdc">
              <v:stroke dashstyle="solid"/>
            </v:line>
            <v:rect style="position:absolute;left:62;top:10226;width:11772;height:397" filled="true" fillcolor="#f4f4f4" stroked="false">
              <v:fill type="solid"/>
            </v:rect>
            <w10:wrap type="none"/>
          </v:group>
        </w:pict>
      </w:r>
      <w:r>
        <w:rPr/>
        <w:t>Max. Hauteur de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1"/>
        </w:rPr>
        <w:t> </w:t>
      </w:r>
      <w:r>
        <w:rPr/>
        <w:t>porte</w:t>
        <w:tab/>
        <w:t>2600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Largeur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porte</w:t>
        <w:tab/>
        <w:t>3000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2"/>
        </w:rPr>
        <w:t> </w:t>
      </w:r>
      <w:r>
        <w:rPr/>
        <w:t>max.</w:t>
      </w:r>
      <w:r>
        <w:rPr>
          <w:spacing w:val="-3"/>
        </w:rPr>
        <w:t> </w:t>
      </w:r>
      <w:r>
        <w:rPr/>
        <w:t>d`ouverture</w:t>
        <w:tab/>
        <w:t>2950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hauteur</w:t>
        <w:tab/>
        <w:t>+/-</w:t>
      </w:r>
      <w:r>
        <w:rPr>
          <w:spacing w:val="-3"/>
        </w:rPr>
        <w:t> </w:t>
      </w:r>
      <w:r>
        <w:rPr/>
        <w:t>3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Amortissement</w:t>
        <w:tab/>
        <w:t>Non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Materiau de</w:t>
      </w:r>
      <w:r>
        <w:rPr>
          <w:spacing w:val="-4"/>
        </w:rPr>
        <w:t> </w:t>
      </w:r>
      <w:r>
        <w:rPr>
          <w:spacing w:val="-3"/>
        </w:rPr>
        <w:t>la</w:t>
      </w:r>
      <w:r>
        <w:rPr/>
        <w:t> porte</w:t>
        <w:tab/>
        <w:t>Bois;Verre;Bois Verre</w:t>
      </w:r>
      <w:r>
        <w:rPr>
          <w:spacing w:val="-6"/>
        </w:rPr>
        <w:t> </w:t>
      </w:r>
      <w:r>
        <w:rPr/>
        <w:t>Mix</w:t>
      </w:r>
    </w:p>
    <w:p>
      <w:pPr>
        <w:pStyle w:val="BodyText"/>
        <w:tabs>
          <w:tab w:pos="7154" w:val="left" w:leader="none"/>
        </w:tabs>
        <w:spacing w:line="312" w:lineRule="exact" w:before="17"/>
        <w:ind w:left="2437"/>
      </w:pPr>
      <w:r>
        <w:rPr/>
        <w:t>Couleur de finition des</w:t>
      </w:r>
      <w:r>
        <w:rPr>
          <w:spacing w:val="-14"/>
        </w:rPr>
        <w:t> </w:t>
      </w:r>
      <w:r>
        <w:rPr/>
        <w:t>profilés</w:t>
      </w:r>
      <w:r>
        <w:rPr>
          <w:spacing w:val="-4"/>
        </w:rPr>
        <w:t> </w:t>
      </w:r>
      <w:r>
        <w:rPr/>
        <w:t>visibles</w:t>
        <w:tab/>
      </w:r>
      <w:r>
        <w:rPr>
          <w:position w:val="13"/>
        </w:rPr>
        <w:t>A</w:t>
      </w:r>
      <w:r>
        <w:rPr>
          <w:position w:val="12"/>
        </w:rPr>
        <w:t>luminium brut;Aluminium anodisé</w:t>
      </w:r>
      <w:r>
        <w:rPr>
          <w:spacing w:val="-3"/>
          <w:position w:val="12"/>
        </w:rPr>
        <w:t> </w:t>
      </w:r>
      <w:r>
        <w:rPr>
          <w:position w:val="12"/>
        </w:rPr>
        <w:t>/</w:t>
      </w:r>
    </w:p>
    <w:p>
      <w:pPr>
        <w:pStyle w:val="BodyText"/>
        <w:spacing w:line="182" w:lineRule="exact"/>
        <w:ind w:left="7154"/>
      </w:pPr>
      <w:r>
        <w:rPr/>
        <w:t>aluminium d’aspect inox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système</w:t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plafond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Montage au</w:t>
      </w:r>
      <w:r>
        <w:rPr>
          <w:spacing w:val="-7"/>
        </w:rPr>
        <w:t> </w:t>
      </w:r>
      <w:r>
        <w:rPr/>
        <w:t>plafond</w:t>
      </w:r>
      <w:r>
        <w:rPr>
          <w:spacing w:val="-1"/>
        </w:rPr>
        <w:t> </w:t>
      </w:r>
      <w:r>
        <w:rPr/>
        <w:t>encastré</w:t>
        <w:tab/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À roulement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haut</w:t>
        <w:tab/>
        <w:t>Oui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73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13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Ordena 70 P composée d’un rail de roulement, chariot avec galets à roulement à billes, profil</w:t>
      </w:r>
      <w:r>
        <w:rPr>
          <w:spacing w:val="-5"/>
        </w:rPr>
        <w:t> </w:t>
      </w:r>
      <w:r>
        <w:rPr/>
        <w:t>porteur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bois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fixation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verre,</w:t>
      </w:r>
      <w:r>
        <w:rPr>
          <w:spacing w:val="-3"/>
        </w:rPr>
        <w:t> </w:t>
      </w:r>
      <w:r>
        <w:rPr/>
        <w:t>butée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blocage, guidage au</w:t>
      </w:r>
      <w:r>
        <w:rPr>
          <w:spacing w:val="-2"/>
        </w:rPr>
        <w:t> </w:t>
      </w:r>
      <w:r>
        <w:rPr/>
        <w:t>sol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Rail de roulement</w:t>
      </w:r>
      <w:r>
        <w:rPr>
          <w:spacing w:val="-6"/>
        </w:rPr>
        <w:t> </w:t>
      </w:r>
      <w:r>
        <w:rPr/>
        <w:t>double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Rail de guidage</w:t>
      </w:r>
      <w:r>
        <w:rPr>
          <w:spacing w:val="-5"/>
        </w:rPr>
        <w:t> </w:t>
      </w:r>
      <w:r>
        <w:rPr/>
        <w:t>double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</w:t>
      </w:r>
      <w:r>
        <w:rPr>
          <w:spacing w:val="-2"/>
        </w:rPr>
        <w:t> </w:t>
      </w:r>
      <w:r>
        <w:rPr/>
        <w:t>Caches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Profil de jointure</w:t>
      </w:r>
      <w:r>
        <w:rPr>
          <w:spacing w:val="-5"/>
        </w:rPr>
        <w:t> </w:t>
      </w:r>
      <w:r>
        <w:rPr/>
        <w:t>murale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Protection du chant de</w:t>
      </w:r>
      <w:r>
        <w:rPr>
          <w:spacing w:val="-6"/>
        </w:rPr>
        <w:t> </w:t>
      </w:r>
      <w:r>
        <w:rPr/>
        <w:t>verre</w:t>
      </w:r>
    </w:p>
    <w:p>
      <w:pPr>
        <w:spacing w:after="0" w:line="233" w:lineRule="exact"/>
        <w:sectPr>
          <w:type w:val="continuous"/>
          <w:pgSz w:w="11910" w:h="16840"/>
          <w:pgMar w:top="1700" w:bottom="1300" w:left="460" w:right="440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Panneau de porte</w:t>
      </w:r>
      <w:r>
        <w:rPr>
          <w:spacing w:val="-2"/>
        </w:rPr>
        <w:t> </w:t>
      </w:r>
      <w:r>
        <w:rPr/>
        <w:t>bois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Encoche pour boîtier (H × l) 25 × 20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du boîtier par</w:t>
      </w:r>
      <w:r>
        <w:rPr>
          <w:spacing w:val="-3"/>
          <w:sz w:val="20"/>
        </w:rPr>
        <w:t> </w:t>
      </w:r>
      <w:r>
        <w:rPr>
          <w:sz w:val="20"/>
        </w:rPr>
        <w:t>vis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Encoche percé en bas pour rainure de guidage (H × l) 20 × 10</w:t>
      </w:r>
      <w:r>
        <w:rPr>
          <w:spacing w:val="-14"/>
          <w:sz w:val="20"/>
        </w:rPr>
        <w:t> </w:t>
      </w:r>
      <w:r>
        <w:rPr>
          <w:sz w:val="20"/>
        </w:rPr>
        <w:t>mm</w:t>
      </w:r>
    </w:p>
    <w:p>
      <w:pPr>
        <w:pStyle w:val="BodyText"/>
        <w:spacing w:before="1"/>
      </w:pPr>
    </w:p>
    <w:p>
      <w:pPr>
        <w:pStyle w:val="Heading1"/>
        <w:spacing w:line="238" w:lineRule="exact"/>
        <w:ind w:left="2461"/>
      </w:pPr>
      <w:r>
        <w:rPr/>
        <w:t>Panneau de porte verre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Usinage du verre pour supports de verre en haut et en</w:t>
      </w:r>
      <w:r>
        <w:rPr>
          <w:spacing w:val="-9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51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84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871">
          <wp:simplePos x="0" y="0"/>
          <wp:positionH relativeFrom="page">
            <wp:posOffset>5706850</wp:posOffset>
          </wp:positionH>
          <wp:positionV relativeFrom="page">
            <wp:posOffset>827043</wp:posOffset>
          </wp:positionV>
          <wp:extent cx="109456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56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96936pt;margin-top:68.660194pt;width:26.15pt;height:13.95pt;mso-position-horizontal-relative:page;mso-position-vertical-relative:page;z-index:-556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70 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2023-06-30T14:13:40Z</dcterms:created>
  <dcterms:modified xsi:type="dcterms:W3CDTF">2023-06-30T14:13:40Z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