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6.6pt;mso-position-horizontal-relative:page;mso-position-vertical-relative:page;z-index:15728640" id="docshapegroup4" coordorigin="62,1983" coordsize="11783,7932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256" id="docshape35" coordorigin="62,7165" coordsize="11783,256" path="m11845,7165l11289,7165,7615,7165,2897,7165,62,7165,62,7420,2897,7420,7615,7420,11289,7420,11845,7420,11845,7165xe" filled="true" fillcolor="#f4f4f4" stroked="false">
              <v:path arrowok="t"/>
              <v:fill type="solid"/>
            </v:shape>
            <v:rect style="position:absolute;left:2897;top:7397;width:4718;height:23" id="docshape36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id="docshape37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539" id="docshape38" coordorigin="62,7420" coordsize="11783,539" path="m11845,7420l11289,7420,7615,7420,2897,7420,62,7420,62,7959,2897,7959,7615,7959,11289,7959,11845,7959,11845,7420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256" id="docshape44" coordorigin="62,8214" coordsize="11783,256" path="m11845,8214l11289,8214,7615,8214,2897,8214,62,8214,62,8469,2897,8469,7615,8469,11289,8469,11845,8469,11845,8214xe" filled="true" fillcolor="#f4f4f4" stroked="false">
              <v:path arrowok="t"/>
              <v:fill type="solid"/>
            </v:shape>
            <v:rect style="position:absolute;left:2897;top:8446;width:4718;height:23" id="docshape45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id="docshape46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539" id="docshape47" coordorigin="62,8469" coordsize="11783,539" path="m11845,8469l11289,8469,7615,8469,2897,8469,62,8469,62,9008,2897,9008,7615,9008,11289,9008,11845,9008,11845,8469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shape style="position:absolute;left:62;top:9262;width:11783;height:256" id="docshape53" coordorigin="62,9263" coordsize="11783,256" path="m11845,9263l11289,9263,7615,9263,2897,9263,62,9263,62,9518,2897,9518,7615,9518,11289,9518,11845,9518,11845,9263xe" filled="true" fillcolor="#f4f4f4" stroked="false">
              <v:path arrowok="t"/>
              <v:fill type="solid"/>
            </v:shape>
            <v:rect style="position:absolute;left:2897;top:9495;width:4718;height:23" id="docshape54" filled="true" fillcolor="#dcdcdc" stroked="false">
              <v:fill type="solid"/>
            </v:rect>
            <v:line style="position:absolute" from="2909,9506" to="7604,9506" stroked="true" strokeweight="0pt" strokecolor="#dcdcdc">
              <v:stroke dashstyle="solid"/>
            </v:line>
            <v:rect style="position:absolute;left:7615;top:9495;width:3675;height:23" id="docshape55" filled="true" fillcolor="#dcdcdc" stroked="false">
              <v:fill type="solid"/>
            </v:rect>
            <v:line style="position:absolute" from="7626,9506" to="11278,9506" stroked="true" strokeweight="0pt" strokecolor="#dcdcdc">
              <v:stroke dashstyle="solid"/>
            </v:line>
            <v:rect style="position:absolute;left:62;top:9517;width:11772;height:397" id="docshape56" filled="true" fillcolor="#f4f4f4" stroked="false">
              <v:fill type="solid"/>
            </v:rect>
            <v:shape style="position:absolute;left:572;top:2243;width:10350;height:806" type="#_x0000_t202" id="docshape57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amortissement.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 Hauteur d’installation minimale.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4686;height:199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Différents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caches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élégants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aspect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individuel</w:t>
                    </w:r>
                  </w:p>
                </w:txbxContent>
              </v:textbox>
              <w10:wrap type="none"/>
            </v:shape>
            <v:shape style="position:absolute;left:3464;top:4307;width:7198;height:431" type="#_x0000_t202" id="docshape61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Aucun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usinage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du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verre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grâce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à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un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assemblage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par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mâchoire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de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serrage</w:t>
                    </w:r>
                  </w:p>
                </w:txbxContent>
              </v:textbox>
              <w10:wrap type="none"/>
            </v:shape>
            <v:shape style="position:absolute;left:572;top:5169;width:5773;height:2240" type="#_x0000_t202" id="docshape6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169;width:1709;height:2240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81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+1/-3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7760;width:1886;height:199" type="#_x0000_t202" id="docshape64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748;width:2639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748;width:325;height:709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797;width:5928;height:709" type="#_x0000_t202" id="docshape67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797;width:325;height:709" type="#_x0000_t202" id="docshape6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tabs>
          <w:tab w:pos="2461" w:val="left" w:leader="none"/>
        </w:tabs>
        <w:spacing w:before="46"/>
        <w:ind w:left="2461" w:right="117" w:hanging="2349"/>
      </w:pPr>
      <w:r>
        <w:rPr>
          <w:b/>
          <w:position w:val="1"/>
        </w:rPr>
        <w:t>Tests réalisés</w:t>
        <w:tab/>
      </w:r>
      <w:r>
        <w:rPr/>
        <w:t>Serrures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bâtiment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Ferrures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portes</w:t>
      </w:r>
      <w:r>
        <w:rPr>
          <w:spacing w:val="-3"/>
        </w:rPr>
        <w:t> </w:t>
      </w:r>
      <w:r>
        <w:rPr/>
        <w:t>coulissantes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pliantes</w:t>
      </w:r>
      <w:r>
        <w:rPr>
          <w:spacing w:val="-3"/>
        </w:rPr>
        <w:t> </w:t>
      </w:r>
      <w:r>
        <w:rPr/>
        <w:t>selon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 – Durée de la fonctionnalité : catégorie 6 (catégorie la plus élevée = 100’000 cycles)</w:t>
      </w:r>
    </w:p>
    <w:p>
      <w:pPr>
        <w:pStyle w:val="BodyText"/>
      </w:pPr>
    </w:p>
    <w:p>
      <w:pPr>
        <w:pStyle w:val="BodyText"/>
        <w:ind w:left="2461"/>
      </w:pPr>
      <w:r>
        <w:rPr/>
        <w:t>Serrures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meuble</w:t>
      </w:r>
      <w:r>
        <w:rPr>
          <w:spacing w:val="-5"/>
        </w:rPr>
        <w:t> </w:t>
      </w:r>
      <w:r>
        <w:rPr/>
        <w:t>–</w:t>
      </w:r>
      <w:r>
        <w:rPr>
          <w:spacing w:val="-6"/>
        </w:rPr>
        <w:t> </w:t>
      </w:r>
      <w:r>
        <w:rPr/>
        <w:t>Ferrures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galets</w:t>
      </w:r>
      <w:r>
        <w:rPr>
          <w:spacing w:val="-6"/>
        </w:rPr>
        <w:t> </w:t>
      </w:r>
      <w:r>
        <w:rPr/>
        <w:t>pour</w:t>
      </w:r>
      <w:r>
        <w:rPr>
          <w:spacing w:val="-5"/>
        </w:rPr>
        <w:t> </w:t>
      </w:r>
      <w:r>
        <w:rPr/>
        <w:t>portes</w:t>
      </w:r>
      <w:r>
        <w:rPr>
          <w:spacing w:val="-6"/>
        </w:rPr>
        <w:t> </w:t>
      </w:r>
      <w:r>
        <w:rPr/>
        <w:t>coulissantes</w:t>
      </w:r>
      <w:r>
        <w:rPr>
          <w:spacing w:val="-5"/>
        </w:rPr>
        <w:t> </w:t>
      </w:r>
      <w:r>
        <w:rPr/>
        <w:t>selon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>
          <w:spacing w:val="-2"/>
        </w:rPr>
        <w:t>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pose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Sécurité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détachement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9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8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before="45"/>
        <w:ind w:left="2461" w:right="234" w:hanging="2349"/>
      </w:pPr>
      <w:r>
        <w:rPr>
          <w:b/>
          <w:position w:val="1"/>
        </w:rPr>
        <w:t>Version du produit</w:t>
        <w:tab/>
      </w:r>
      <w:r>
        <w:rPr/>
        <w:t>Hawa Porta 100 GM composé d'un rail de roulement (aluminium), roulement à billes, butée avec</w:t>
      </w:r>
      <w:r>
        <w:rPr>
          <w:spacing w:val="-3"/>
        </w:rPr>
        <w:t> </w:t>
      </w:r>
      <w:r>
        <w:rPr/>
        <w:t>ressort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blocage,</w:t>
      </w:r>
      <w:r>
        <w:rPr>
          <w:spacing w:val="-4"/>
        </w:rPr>
        <w:t> </w:t>
      </w:r>
      <w:r>
        <w:rPr/>
        <w:t>patin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serrage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vis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</w:t>
      </w:r>
      <w:r>
        <w:rPr>
          <w:spacing w:val="-4"/>
        </w:rPr>
        <w:t> </w:t>
      </w:r>
      <w:r>
        <w:rPr/>
        <w:t>cache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clipser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patin de serrage, guidage au sol sans jeu.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En</w:t>
      </w:r>
      <w:r>
        <w:rPr>
          <w:spacing w:val="-9"/>
        </w:rPr>
        <w:t> </w:t>
      </w:r>
      <w:r>
        <w:rPr/>
        <w:t>option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BodyText"/>
        <w:ind w:left="2461" w:right="3769"/>
      </w:pPr>
      <w:r>
        <w:rPr/>
        <w:t>(….)</w:t>
      </w:r>
      <w:r>
        <w:rPr>
          <w:spacing w:val="-9"/>
        </w:rPr>
        <w:t> </w:t>
      </w:r>
      <w:r>
        <w:rPr/>
        <w:t>Rail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roulement</w:t>
      </w:r>
      <w:r>
        <w:rPr>
          <w:spacing w:val="-8"/>
        </w:rPr>
        <w:t> </w:t>
      </w:r>
      <w:r>
        <w:rPr/>
        <w:t>pour</w:t>
      </w:r>
      <w:r>
        <w:rPr>
          <w:spacing w:val="-7"/>
        </w:rPr>
        <w:t> </w:t>
      </w:r>
      <w:r>
        <w:rPr/>
        <w:t>intégration</w:t>
      </w:r>
      <w:r>
        <w:rPr>
          <w:spacing w:val="-8"/>
        </w:rPr>
        <w:t> </w:t>
      </w:r>
      <w:r>
        <w:rPr/>
        <w:t>au</w:t>
      </w:r>
      <w:r>
        <w:rPr>
          <w:spacing w:val="-8"/>
        </w:rPr>
        <w:t> </w:t>
      </w:r>
      <w:r>
        <w:rPr/>
        <w:t>plafond (….) Set pour montage et démontage du rail</w:t>
      </w:r>
    </w:p>
    <w:p>
      <w:pPr>
        <w:pStyle w:val="BodyText"/>
        <w:spacing w:line="230" w:lineRule="exact"/>
        <w:ind w:left="2461"/>
      </w:pPr>
      <w:r>
        <w:rPr/>
        <w:t>(….)</w:t>
      </w:r>
      <w:r>
        <w:rPr>
          <w:spacing w:val="-9"/>
        </w:rPr>
        <w:t> </w:t>
      </w:r>
      <w:r>
        <w:rPr/>
        <w:t>Amortisseur</w:t>
      </w:r>
      <w:r>
        <w:rPr>
          <w:spacing w:val="-7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7"/>
        </w:rPr>
        <w:t> </w:t>
      </w:r>
      <w:r>
        <w:rPr>
          <w:spacing w:val="-5"/>
        </w:rPr>
        <w:t>100</w:t>
      </w:r>
    </w:p>
    <w:p>
      <w:pPr>
        <w:pStyle w:val="BodyText"/>
        <w:spacing w:line="233" w:lineRule="exact"/>
        <w:ind w:left="2461"/>
      </w:pPr>
      <w:r>
        <w:rPr/>
        <w:t>(….)</w:t>
      </w:r>
      <w:r>
        <w:rPr>
          <w:spacing w:val="-6"/>
        </w:rPr>
        <w:t> </w:t>
      </w:r>
      <w:r>
        <w:rPr/>
        <w:t>Butée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/>
        <w:t>sol,</w:t>
      </w:r>
      <w:r>
        <w:rPr>
          <w:spacing w:val="-5"/>
        </w:rPr>
        <w:t> </w:t>
      </w:r>
      <w:r>
        <w:rPr/>
        <w:t>avec</w:t>
      </w:r>
      <w:r>
        <w:rPr>
          <w:spacing w:val="-4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tabs>
          <w:tab w:pos="2461" w:val="left" w:leader="none"/>
        </w:tabs>
        <w:spacing w:before="0"/>
        <w:ind w:left="2461" w:right="0" w:hanging="2349"/>
        <w:jc w:val="left"/>
        <w:rPr>
          <w:b/>
          <w:sz w:val="19"/>
        </w:rPr>
      </w:pPr>
      <w:r>
        <w:rPr>
          <w:b/>
          <w:spacing w:val="-2"/>
          <w:position w:val="1"/>
          <w:sz w:val="20"/>
        </w:rPr>
        <w:t>Interfaces</w:t>
      </w:r>
      <w:r>
        <w:rPr>
          <w:b/>
          <w:position w:val="1"/>
          <w:sz w:val="20"/>
        </w:rPr>
        <w:tab/>
      </w:r>
      <w:r>
        <w:rPr>
          <w:b/>
          <w:sz w:val="19"/>
        </w:rPr>
        <w:t>Panneau</w:t>
      </w:r>
      <w:r>
        <w:rPr>
          <w:b/>
          <w:spacing w:val="22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2"/>
          <w:sz w:val="19"/>
        </w:rPr>
        <w:t> </w:t>
      </w:r>
      <w:r>
        <w:rPr>
          <w:b/>
          <w:spacing w:val="-2"/>
          <w:sz w:val="19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Aucune</w:t>
      </w:r>
      <w:r>
        <w:rPr>
          <w:spacing w:val="-9"/>
          <w:w w:val="105"/>
          <w:sz w:val="19"/>
        </w:rPr>
        <w:t> </w:t>
      </w:r>
      <w:r>
        <w:rPr>
          <w:spacing w:val="-2"/>
          <w:w w:val="105"/>
          <w:sz w:val="19"/>
        </w:rPr>
        <w:t>encoche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Fixation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paroi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verre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serrée</w:t>
      </w:r>
    </w:p>
    <w:p>
      <w:pPr>
        <w:pStyle w:val="BodyText"/>
        <w:spacing w:before="7"/>
      </w:pPr>
    </w:p>
    <w:p>
      <w:pPr>
        <w:spacing w:before="1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Rail</w:t>
      </w:r>
      <w:r>
        <w:rPr>
          <w:b/>
          <w:spacing w:val="-10"/>
          <w:w w:val="105"/>
          <w:sz w:val="19"/>
        </w:rPr>
        <w:t> </w:t>
      </w:r>
      <w:r>
        <w:rPr>
          <w:b/>
          <w:w w:val="105"/>
          <w:sz w:val="19"/>
        </w:rPr>
        <w:t>de</w:t>
      </w:r>
      <w:r>
        <w:rPr>
          <w:b/>
          <w:spacing w:val="-8"/>
          <w:w w:val="105"/>
          <w:sz w:val="19"/>
        </w:rPr>
        <w:t> </w:t>
      </w:r>
      <w:r>
        <w:rPr>
          <w:b/>
          <w:w w:val="105"/>
          <w:sz w:val="19"/>
        </w:rPr>
        <w:t>roulement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intégration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au</w:t>
      </w:r>
      <w:r>
        <w:rPr>
          <w:b/>
          <w:spacing w:val="-10"/>
          <w:w w:val="105"/>
          <w:sz w:val="19"/>
        </w:rPr>
        <w:t> </w:t>
      </w:r>
      <w:r>
        <w:rPr>
          <w:b/>
          <w:spacing w:val="-2"/>
          <w:w w:val="105"/>
          <w:sz w:val="19"/>
        </w:rPr>
        <w:t>plafond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Le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est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intégré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avant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montage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au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plafond</w:t>
      </w:r>
    </w:p>
    <w:sectPr>
      <w:pgSz w:w="11910" w:h="16840"/>
      <w:pgMar w:header="401" w:footer="1105" w:top="196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0736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022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4208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4720">
          <wp:simplePos x="0" y="0"/>
          <wp:positionH relativeFrom="page">
            <wp:posOffset>5595233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652527pt;margin-top:68.660667pt;width:44.45pt;height:13.95pt;mso-position-horizontal-relative:page;mso-position-vertical-relative:page;z-index:-1586124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7"/>
                    <w:sz w:val="24"/>
                  </w:rPr>
                  <w:t>GM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2023-03-07T09:56:54Z</dcterms:created>
  <dcterms:modified xsi:type="dcterms:W3CDTF">2023-03-07T09:56:54Z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