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group style="position:absolute;margin-left:3.118575pt;margin-top:99.139702pt;width:589.15pt;height:428.35pt;mso-position-horizontal-relative:page;mso-position-vertical-relative:page;z-index:-15826944" id="docshapegroup4" coordorigin="62,1983" coordsize="11783,856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72;height:1384" id="docshape11" coordorigin="62,4092" coordsize="11772,1384" path="m3464,4784l2897,4784,62,4784,62,5475,2897,5475,3464,5475,3464,4784xm11834,4092l11119,4092,4882,4092,3464,4092,3464,4784,4882,4784,11119,4784,11834,4784,11834,4092xe" filled="true" fillcolor="#f4f4f4" stroked="false">
              <v:path arrowok="t"/>
              <v:fill type="solid"/>
            </v:shape>
            <v:shape style="position:absolute;left:2942;top:4811;width:420;height:454" type="#_x0000_t75" id="docshape12" stroked="false">
              <v:imagedata r:id="rId9" o:title=""/>
            </v:shape>
            <v:shape style="position:absolute;left:62;top:4783;width:11783;height:1231" id="docshape13" coordorigin="62,4784" coordsize="11783,1231" path="m11845,5475l11828,5475,11828,4784,11289,4784,4882,4784,3464,4784,3464,5475,2897,5475,62,5475,62,6014,2897,6014,7615,6014,11289,6014,11845,6014,11845,5475xe" filled="true" fillcolor="#f4f4f4" stroked="false">
              <v:path arrowok="t"/>
              <v:fill type="solid"/>
            </v:shape>
            <v:rect style="position:absolute;left:2897;top:5991;width:4718;height:23" id="docshape14" filled="true" fillcolor="#dcdcdc" stroked="false">
              <v:fill type="solid"/>
            </v:rect>
            <v:line style="position:absolute" from="2909,6003" to="7604,6003" stroked="true" strokeweight="0pt" strokecolor="#dcdcdc">
              <v:stroke dashstyle="solid"/>
            </v:line>
            <v:rect style="position:absolute;left:7615;top:5991;width:3675;height:23" id="docshape15" filled="true" fillcolor="#dcdcdc" stroked="false">
              <v:fill type="solid"/>
            </v:rect>
            <v:line style="position:absolute" from="7626,6003" to="11278,6003" stroked="true" strokeweight="0pt" strokecolor="#dcdcdc">
              <v:stroke dashstyle="solid"/>
            </v:line>
            <v:shape style="position:absolute;left:62;top:6013;width:11783;height:256" id="docshape16" coordorigin="62,6014" coordsize="11783,256" path="m11845,6014l11289,6014,7615,6014,2897,6014,62,6014,62,6269,2897,6269,7615,6269,11289,6269,11845,6269,11845,6014xe" filled="true" fillcolor="#f4f4f4" stroked="false">
              <v:path arrowok="t"/>
              <v:fill type="solid"/>
            </v:shape>
            <v:rect style="position:absolute;left:2897;top:6246;width:4718;height:23" id="docshape17" filled="true" fillcolor="#dcdcdc" stroked="false">
              <v:fill type="solid"/>
            </v:rect>
            <v:line style="position:absolute" from="2909,6258" to="7604,6258" stroked="true" strokeweight="0pt" strokecolor="#dcdcdc">
              <v:stroke dashstyle="solid"/>
            </v:line>
            <v:rect style="position:absolute;left:7615;top:6246;width:3675;height:23" id="docshape18" filled="true" fillcolor="#dcdcdc" stroked="false">
              <v:fill type="solid"/>
            </v:rect>
            <v:line style="position:absolute" from="7626,6258" to="11278,6258" stroked="true" strokeweight="0pt" strokecolor="#dcdcdc">
              <v:stroke dashstyle="solid"/>
            </v:line>
            <v:shape style="position:absolute;left:62;top:6269;width:11783;height:256" id="docshape19" coordorigin="62,6269" coordsize="11783,256" path="m11845,6269l11289,6269,7615,6269,2897,6269,62,6269,62,6524,2897,6524,7615,6524,11289,6524,11845,6524,11845,6269xe" filled="true" fillcolor="#f4f4f4" stroked="false">
              <v:path arrowok="t"/>
              <v:fill type="solid"/>
            </v:shape>
            <v:rect style="position:absolute;left:2897;top:6501;width:4718;height:23" id="docshape20" filled="true" fillcolor="#dcdcdc" stroked="false">
              <v:fill type="solid"/>
            </v:rect>
            <v:line style="position:absolute" from="2909,6513" to="7604,6513" stroked="true" strokeweight="0pt" strokecolor="#dcdcdc">
              <v:stroke dashstyle="solid"/>
            </v:line>
            <v:rect style="position:absolute;left:7615;top:6501;width:3675;height:23" id="docshape21" filled="true" fillcolor="#dcdcdc" stroked="false">
              <v:fill type="solid"/>
            </v:rect>
            <v:line style="position:absolute" from="7626,6513" to="11278,6513" stroked="true" strokeweight="0pt" strokecolor="#dcdcdc">
              <v:stroke dashstyle="solid"/>
            </v:line>
            <v:shape style="position:absolute;left:62;top:6524;width:11783;height:256" id="docshape22" coordorigin="62,6524" coordsize="11783,256" path="m11845,6524l11289,6524,7615,6524,2897,6524,62,6524,62,6779,2897,6779,7615,6779,11289,6779,11845,6779,11845,6524xe" filled="true" fillcolor="#f4f4f4" stroked="false">
              <v:path arrowok="t"/>
              <v:fill type="solid"/>
            </v:shape>
            <v:rect style="position:absolute;left:2897;top:6756;width:4718;height:23" id="docshape23" filled="true" fillcolor="#dcdcdc" stroked="false">
              <v:fill type="solid"/>
            </v:rect>
            <v:line style="position:absolute" from="2909,6768" to="7604,6768" stroked="true" strokeweight="0pt" strokecolor="#dcdcdc">
              <v:stroke dashstyle="solid"/>
            </v:line>
            <v:rect style="position:absolute;left:7615;top:6756;width:3675;height:23" id="docshape24" filled="true" fillcolor="#dcdcdc" stroked="false">
              <v:fill type="solid"/>
            </v:rect>
            <v:line style="position:absolute" from="7626,6768" to="11278,6768" stroked="true" strokeweight="0pt" strokecolor="#dcdcdc">
              <v:stroke dashstyle="solid"/>
            </v:line>
            <v:shape style="position:absolute;left:62;top:6779;width:11783;height:256" id="docshape25" coordorigin="62,6779" coordsize="11783,256" path="m11845,6779l11289,6779,7615,6779,2897,6779,62,6779,62,7034,2897,7034,7615,7034,11289,7034,11845,7034,11845,6779xe" filled="true" fillcolor="#f4f4f4" stroked="false">
              <v:path arrowok="t"/>
              <v:fill type="solid"/>
            </v:shape>
            <v:rect style="position:absolute;left:2897;top:7011;width:4718;height:23" id="docshape26" filled="true" fillcolor="#dcdcdc" stroked="false">
              <v:fill type="solid"/>
            </v:rect>
            <v:line style="position:absolute" from="2909,7023" to="7604,7023" stroked="true" strokeweight="0pt" strokecolor="#dcdcdc">
              <v:stroke dashstyle="solid"/>
            </v:line>
            <v:rect style="position:absolute;left:7615;top:7011;width:3675;height:23" id="docshape27" filled="true" fillcolor="#dcdcdc" stroked="false">
              <v:fill type="solid"/>
            </v:rect>
            <v:line style="position:absolute" from="7626,7023" to="11278,7023" stroked="true" strokeweight="0pt" strokecolor="#dcdcdc">
              <v:stroke dashstyle="solid"/>
            </v:line>
            <v:shape style="position:absolute;left:62;top:7034;width:11783;height:256" id="docshape28" coordorigin="62,7034" coordsize="11783,256" path="m11845,7034l11289,7034,7615,7034,2897,7034,62,7034,62,7290,2897,7290,7615,7290,11289,7290,11845,7290,11845,7034xe" filled="true" fillcolor="#f4f4f4" stroked="false">
              <v:path arrowok="t"/>
              <v:fill type="solid"/>
            </v:shape>
            <v:rect style="position:absolute;left:2897;top:7266;width:4718;height:23" id="docshape29" filled="true" fillcolor="#dcdcdc" stroked="false">
              <v:fill type="solid"/>
            </v:rect>
            <v:line style="position:absolute" from="2909,7278" to="7604,7278" stroked="true" strokeweight="0pt" strokecolor="#dcdcdc">
              <v:stroke dashstyle="solid"/>
            </v:line>
            <v:rect style="position:absolute;left:7615;top:7266;width:3675;height:23" id="docshape30" filled="true" fillcolor="#dcdcdc" stroked="false">
              <v:fill type="solid"/>
            </v:rect>
            <v:line style="position:absolute" from="7626,7278" to="11278,7278" stroked="true" strokeweight="0pt" strokecolor="#dcdcdc">
              <v:stroke dashstyle="solid"/>
            </v:line>
            <v:shape style="position:absolute;left:62;top:7289;width:11783;height:256" id="docshape31" coordorigin="62,7290" coordsize="11783,256" path="m11845,7290l11289,7290,7615,7290,2897,7290,62,7290,62,7545,2897,7545,7615,7545,11289,7545,11845,7545,11845,7290xe" filled="true" fillcolor="#f4f4f4" stroked="false">
              <v:path arrowok="t"/>
              <v:fill type="solid"/>
            </v:shape>
            <v:rect style="position:absolute;left:2897;top:7522;width:4718;height:23" id="docshape32" filled="true" fillcolor="#dcdcdc" stroked="false">
              <v:fill type="solid"/>
            </v:rect>
            <v:line style="position:absolute" from="2909,7533" to="7604,7533" stroked="true" strokeweight="0pt" strokecolor="#dcdcdc">
              <v:stroke dashstyle="solid"/>
            </v:line>
            <v:rect style="position:absolute;left:7615;top:7522;width:3675;height:23" id="docshape33" filled="true" fillcolor="#dcdcdc" stroked="false">
              <v:fill type="solid"/>
            </v:rect>
            <v:line style="position:absolute" from="7626,7533" to="11278,7533" stroked="true" strokeweight="0pt" strokecolor="#dcdcdc">
              <v:stroke dashstyle="solid"/>
            </v:line>
            <v:shape style="position:absolute;left:62;top:7544;width:11783;height:256" id="docshape34" coordorigin="62,7545" coordsize="11783,256" path="m11845,7545l11289,7545,7615,7545,2897,7545,62,7545,62,7800,2897,7800,7615,7800,11289,7800,11845,7800,11845,7545xe" filled="true" fillcolor="#f4f4f4" stroked="false">
              <v:path arrowok="t"/>
              <v:fill type="solid"/>
            </v:shape>
            <v:rect style="position:absolute;left:2897;top:7777;width:4718;height:23" id="docshape35" filled="true" fillcolor="#dcdcdc" stroked="false">
              <v:fill type="solid"/>
            </v:rect>
            <v:line style="position:absolute" from="2909,7789" to="7604,7789" stroked="true" strokeweight="0pt" strokecolor="#dcdcdc">
              <v:stroke dashstyle="solid"/>
            </v:line>
            <v:rect style="position:absolute;left:7615;top:7777;width:3675;height:23" id="docshape36" filled="true" fillcolor="#dcdcdc" stroked="false">
              <v:fill type="solid"/>
            </v:rect>
            <v:line style="position:absolute" from="7626,7789" to="11278,7789" stroked="true" strokeweight="0pt" strokecolor="#dcdcdc">
              <v:stroke dashstyle="solid"/>
            </v:line>
            <v:shape style="position:absolute;left:62;top:7799;width:11783;height:511" id="docshape37" coordorigin="62,7800" coordsize="11783,511" path="m11845,7800l11289,7800,7615,7800,2897,7800,62,7800,62,8310,2897,8310,7615,8310,11289,8310,11845,8310,11845,7800xe" filled="true" fillcolor="#f4f4f4" stroked="false">
              <v:path arrowok="t"/>
              <v:fill type="solid"/>
            </v:shape>
            <v:rect style="position:absolute;left:2897;top:8287;width:4718;height:23" id="docshape38" filled="true" fillcolor="#dcdcdc" stroked="false">
              <v:fill type="solid"/>
            </v:rect>
            <v:line style="position:absolute" from="2909,8299" to="7604,8299" stroked="true" strokeweight="0pt" strokecolor="#dcdcdc">
              <v:stroke dashstyle="solid"/>
            </v:line>
            <v:rect style="position:absolute;left:7615;top:8287;width:3675;height:23" id="docshape39" filled="true" fillcolor="#dcdcdc" stroked="false">
              <v:fill type="solid"/>
            </v:rect>
            <v:line style="position:absolute" from="7626,8299" to="11278,8299" stroked="true" strokeweight="0pt" strokecolor="#dcdcdc">
              <v:stroke dashstyle="solid"/>
            </v:line>
            <v:shape style="position:absolute;left:62;top:8310;width:11783;height:539" id="docshape40" coordorigin="62,8310" coordsize="11783,539" path="m11845,8310l11289,8310,7615,8310,2897,8310,62,8310,62,8849,2897,8849,7615,8849,11289,8849,11845,8849,11845,8310xe" filled="true" fillcolor="#f4f4f4" stroked="false">
              <v:path arrowok="t"/>
              <v:fill type="solid"/>
            </v:shape>
            <v:rect style="position:absolute;left:2897;top:8826;width:4718;height:23" id="docshape41" filled="true" fillcolor="#dcdcdc" stroked="false">
              <v:fill type="solid"/>
            </v:rect>
            <v:line style="position:absolute" from="2909,8837" to="7604,8837" stroked="true" strokeweight="0pt" strokecolor="#dcdcdc">
              <v:stroke dashstyle="solid"/>
            </v:line>
            <v:rect style="position:absolute;left:7615;top:8826;width:3675;height:23" id="docshape42" filled="true" fillcolor="#dcdcdc" stroked="false">
              <v:fill type="solid"/>
            </v:rect>
            <v:line style="position:absolute" from="7626,8837" to="11278,8837" stroked="true" strokeweight="0pt" strokecolor="#dcdcdc">
              <v:stroke dashstyle="solid"/>
            </v:line>
            <v:shape style="position:absolute;left:62;top:8848;width:11783;height:256" id="docshape43" coordorigin="62,8849" coordsize="11783,256" path="m11845,8849l11289,8849,7615,8849,2897,8849,62,8849,62,9104,2897,9104,7615,9104,11289,9104,11845,9104,11845,8849xe" filled="true" fillcolor="#f4f4f4" stroked="false">
              <v:path arrowok="t"/>
              <v:fill type="solid"/>
            </v:shape>
            <v:rect style="position:absolute;left:2897;top:9081;width:4718;height:23" id="docshape44" filled="true" fillcolor="#dcdcdc" stroked="false">
              <v:fill type="solid"/>
            </v:rect>
            <v:line style="position:absolute" from="2909,9093" to="7604,9093" stroked="true" strokeweight="0pt" strokecolor="#dcdcdc">
              <v:stroke dashstyle="solid"/>
            </v:line>
            <v:rect style="position:absolute;left:7615;top:9081;width:3675;height:23" id="docshape45" filled="true" fillcolor="#dcdcdc" stroked="false">
              <v:fill type="solid"/>
            </v:rect>
            <v:line style="position:absolute" from="7626,9093" to="11278,9093" stroked="true" strokeweight="0pt" strokecolor="#dcdcdc">
              <v:stroke dashstyle="solid"/>
            </v:line>
            <v:shape style="position:absolute;left:62;top:9103;width:11783;height:539" id="docshape46" coordorigin="62,9104" coordsize="11783,539" path="m11845,9104l11289,9104,7615,9104,2897,9104,62,9104,62,9643,2897,9643,7615,9643,11289,9643,11845,9643,11845,9104xe" filled="true" fillcolor="#f4f4f4" stroked="false">
              <v:path arrowok="t"/>
              <v:fill type="solid"/>
            </v:shape>
            <v:rect style="position:absolute;left:2897;top:9619;width:4718;height:23" id="docshape47" filled="true" fillcolor="#dcdcdc" stroked="false">
              <v:fill type="solid"/>
            </v:rect>
            <v:line style="position:absolute" from="2909,9631" to="7604,9631" stroked="true" strokeweight="0pt" strokecolor="#dcdcdc">
              <v:stroke dashstyle="solid"/>
            </v:line>
            <v:rect style="position:absolute;left:7615;top:9619;width:3675;height:23" id="docshape48" filled="true" fillcolor="#dcdcdc" stroked="false">
              <v:fill type="solid"/>
            </v:rect>
            <v:line style="position:absolute" from="7626,9631" to="11278,9631" stroked="true" strokeweight="0pt" strokecolor="#dcdcdc">
              <v:stroke dashstyle="solid"/>
            </v:line>
            <v:shape style="position:absolute;left:62;top:9642;width:11783;height:256" id="docshape49" coordorigin="62,9643" coordsize="11783,256" path="m11845,9643l11289,9643,7615,9643,2897,9643,62,9643,62,9898,2897,9898,7615,9898,11289,9898,11845,9898,11845,9643xe" filled="true" fillcolor="#f4f4f4" stroked="false">
              <v:path arrowok="t"/>
              <v:fill type="solid"/>
            </v:shape>
            <v:rect style="position:absolute;left:2897;top:9875;width:4718;height:23" id="docshape50" filled="true" fillcolor="#dcdcdc" stroked="false">
              <v:fill type="solid"/>
            </v:rect>
            <v:line style="position:absolute" from="2909,9886" to="7604,9886" stroked="true" strokeweight="0pt" strokecolor="#dcdcdc">
              <v:stroke dashstyle="solid"/>
            </v:line>
            <v:rect style="position:absolute;left:7615;top:9875;width:3675;height:23" id="docshape51" filled="true" fillcolor="#dcdcdc" stroked="false">
              <v:fill type="solid"/>
            </v:rect>
            <v:line style="position:absolute" from="7626,9886" to="11278,9886" stroked="true" strokeweight="0pt" strokecolor="#dcdcdc">
              <v:stroke dashstyle="solid"/>
            </v:line>
            <v:shape style="position:absolute;left:62;top:9897;width:11783;height:256" id="docshape52" coordorigin="62,9898" coordsize="11783,256" path="m11845,9898l11289,9898,7615,9898,2897,9898,62,9898,62,10153,2897,10153,7615,10153,11289,10153,11845,10153,11845,9898xe" filled="true" fillcolor="#f4f4f4" stroked="false">
              <v:path arrowok="t"/>
              <v:fill type="solid"/>
            </v:shape>
            <v:rect style="position:absolute;left:2897;top:10130;width:4718;height:23" id="docshape53" filled="true" fillcolor="#dcdcdc" stroked="false">
              <v:fill type="solid"/>
            </v:rect>
            <v:line style="position:absolute" from="2909,10141" to="7604,10141" stroked="true" strokeweight="0pt" strokecolor="#dcdcdc">
              <v:stroke dashstyle="solid"/>
            </v:line>
            <v:rect style="position:absolute;left:7615;top:10130;width:3675;height:23" id="docshape54" filled="true" fillcolor="#dcdcdc" stroked="false">
              <v:fill type="solid"/>
            </v:rect>
            <v:line style="position:absolute" from="7626,10141" to="11278,10141" stroked="true" strokeweight="0pt" strokecolor="#dcdcdc">
              <v:stroke dashstyle="solid"/>
            </v:line>
            <v:rect style="position:absolute;left:62;top:10152;width:11772;height:397" id="docshape55" filled="true" fillcolor="#f4f4f4" stroked="false">
              <v:fill type="solid"/>
            </v:rect>
            <w10:wrap type="none"/>
          </v:group>
        </w:pict>
      </w:r>
    </w:p>
    <w:p>
      <w:pPr>
        <w:pStyle w:val="Title"/>
        <w:spacing w:line="237" w:lineRule="auto"/>
      </w:pPr>
      <w:r>
        <w:rPr>
          <w:color w:val="003C78"/>
        </w:rPr>
        <w:t>Ferrure</w:t>
      </w:r>
      <w:r>
        <w:rPr>
          <w:color w:val="003C78"/>
          <w:spacing w:val="-7"/>
        </w:rPr>
        <w:t> </w:t>
      </w:r>
      <w:r>
        <w:rPr>
          <w:color w:val="003C78"/>
        </w:rPr>
        <w:t>pour</w:t>
      </w:r>
      <w:r>
        <w:rPr>
          <w:color w:val="003C78"/>
          <w:spacing w:val="-2"/>
        </w:rPr>
        <w:t> </w:t>
      </w:r>
      <w:r>
        <w:rPr>
          <w:color w:val="003C78"/>
        </w:rPr>
        <w:t>portes</w:t>
      </w:r>
      <w:r>
        <w:rPr>
          <w:color w:val="003C78"/>
          <w:spacing w:val="-9"/>
        </w:rPr>
        <w:t> </w:t>
      </w:r>
      <w:r>
        <w:rPr>
          <w:color w:val="003C78"/>
        </w:rPr>
        <w:t>en</w:t>
      </w:r>
      <w:r>
        <w:rPr>
          <w:color w:val="003C78"/>
          <w:spacing w:val="-6"/>
        </w:rPr>
        <w:t> </w:t>
      </w:r>
      <w:r>
        <w:rPr>
          <w:color w:val="003C78"/>
        </w:rPr>
        <w:t>bois</w:t>
      </w:r>
      <w:r>
        <w:rPr>
          <w:color w:val="003C78"/>
          <w:spacing w:val="-9"/>
        </w:rPr>
        <w:t> </w:t>
      </w:r>
      <w:r>
        <w:rPr>
          <w:color w:val="003C78"/>
        </w:rPr>
        <w:t>à</w:t>
      </w:r>
      <w:r>
        <w:rPr>
          <w:color w:val="003C78"/>
          <w:spacing w:val="-7"/>
        </w:rPr>
        <w:t> </w:t>
      </w:r>
      <w:r>
        <w:rPr>
          <w:color w:val="003C78"/>
        </w:rPr>
        <w:t>roulement</w:t>
      </w:r>
      <w:r>
        <w:rPr>
          <w:color w:val="003C78"/>
          <w:spacing w:val="-5"/>
        </w:rPr>
        <w:t> </w:t>
      </w:r>
      <w:r>
        <w:rPr>
          <w:color w:val="003C78"/>
        </w:rPr>
        <w:t>en</w:t>
      </w:r>
      <w:r>
        <w:rPr>
          <w:color w:val="003C78"/>
          <w:spacing w:val="-6"/>
        </w:rPr>
        <w:t> </w:t>
      </w:r>
      <w:r>
        <w:rPr>
          <w:color w:val="003C78"/>
        </w:rPr>
        <w:t>haut</w:t>
      </w:r>
      <w:r>
        <w:rPr>
          <w:color w:val="003C78"/>
          <w:spacing w:val="-5"/>
        </w:rPr>
        <w:t> </w:t>
      </w:r>
      <w:r>
        <w:rPr>
          <w:color w:val="003C78"/>
        </w:rPr>
        <w:t>jusqu’à</w:t>
      </w:r>
      <w:r>
        <w:rPr>
          <w:color w:val="003C78"/>
          <w:spacing w:val="-7"/>
        </w:rPr>
        <w:t> </w:t>
      </w:r>
      <w:r>
        <w:rPr>
          <w:color w:val="003C78"/>
        </w:rPr>
        <w:t>100</w:t>
      </w:r>
      <w:r>
        <w:rPr>
          <w:color w:val="003C78"/>
          <w:spacing w:val="-8"/>
        </w:rPr>
        <w:t> </w:t>
      </w:r>
      <w:r>
        <w:rPr>
          <w:color w:val="003C78"/>
        </w:rPr>
        <w:t>kg</w:t>
      </w:r>
      <w:r>
        <w:rPr>
          <w:color w:val="003C78"/>
          <w:spacing w:val="-10"/>
        </w:rPr>
        <w:t> </w:t>
      </w:r>
      <w:r>
        <w:rPr>
          <w:color w:val="003C78"/>
        </w:rPr>
        <w:t>avec</w:t>
      </w:r>
      <w:r>
        <w:rPr>
          <w:color w:val="003C78"/>
          <w:spacing w:val="-7"/>
        </w:rPr>
        <w:t> </w:t>
      </w:r>
      <w:r>
        <w:rPr>
          <w:color w:val="003C78"/>
        </w:rPr>
        <w:t>rail</w:t>
      </w:r>
      <w:r>
        <w:rPr>
          <w:color w:val="003C78"/>
          <w:spacing w:val="-5"/>
        </w:rPr>
        <w:t> </w:t>
      </w:r>
      <w:r>
        <w:rPr>
          <w:color w:val="003C78"/>
        </w:rPr>
        <w:t>de</w:t>
      </w:r>
      <w:r>
        <w:rPr>
          <w:color w:val="003C78"/>
          <w:spacing w:val="-7"/>
        </w:rPr>
        <w:t> </w:t>
      </w:r>
      <w:r>
        <w:rPr>
          <w:color w:val="003C78"/>
        </w:rPr>
        <w:t>roulement</w:t>
      </w:r>
      <w:r>
        <w:rPr>
          <w:color w:val="003C78"/>
          <w:spacing w:val="-5"/>
        </w:rPr>
        <w:t> </w:t>
      </w:r>
      <w:r>
        <w:rPr>
          <w:color w:val="003C78"/>
        </w:rPr>
        <w:t>en applique. En option avec amortissement. Montage mural ou au plafond.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0"/>
        <w:ind w:left="0" w:right="226" w:firstLine="0"/>
        <w:jc w:val="center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Flexibilité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plafond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avec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cache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à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fournir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par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l'utilisateur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ou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cache</w:t>
      </w:r>
      <w:r>
        <w:rPr>
          <w:spacing w:val="-3"/>
          <w:position w:val="1"/>
          <w:sz w:val="20"/>
        </w:rPr>
        <w:t> </w:t>
      </w:r>
      <w:r>
        <w:rPr>
          <w:spacing w:val="-10"/>
          <w:position w:val="1"/>
          <w:sz w:val="20"/>
        </w:rPr>
        <w:t>à</w:t>
      </w:r>
    </w:p>
    <w:p>
      <w:pPr>
        <w:pStyle w:val="BodyText"/>
        <w:spacing w:line="230" w:lineRule="exact"/>
        <w:ind w:left="801" w:right="226"/>
        <w:jc w:val="center"/>
      </w:pPr>
      <w:r>
        <w:rPr/>
        <w:t>clipser</w:t>
      </w:r>
      <w:r>
        <w:rPr>
          <w:spacing w:val="-7"/>
        </w:rPr>
        <w:t> </w:t>
      </w:r>
      <w:r>
        <w:rPr/>
        <w:t>intégré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alu ou</w:t>
      </w:r>
      <w:r>
        <w:rPr>
          <w:spacing w:val="-6"/>
        </w:rPr>
        <w:t> </w:t>
      </w:r>
      <w:r>
        <w:rPr>
          <w:spacing w:val="-4"/>
        </w:rPr>
        <w:t>bois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244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Montage ultérieur de tous les composants à travers l’ouverture de </w:t>
      </w:r>
      <w:r>
        <w:rPr/>
        <w:t>montage</w:t>
      </w:r>
      <w:r>
        <w:rPr>
          <w:spacing w:val="-2"/>
        </w:rPr>
        <w:t> </w:t>
      </w:r>
      <w:r>
        <w:rPr/>
        <w:t>prévue,</w:t>
      </w:r>
      <w:r>
        <w:rPr>
          <w:spacing w:val="-8"/>
        </w:rPr>
        <w:t> </w:t>
      </w:r>
      <w:r>
        <w:rPr/>
        <w:t>empêche</w:t>
      </w:r>
      <w:r>
        <w:rPr>
          <w:spacing w:val="-2"/>
        </w:rPr>
        <w:t> </w:t>
      </w:r>
      <w:r>
        <w:rPr/>
        <w:t>tout</w:t>
      </w:r>
      <w:r>
        <w:rPr>
          <w:spacing w:val="-4"/>
        </w:rPr>
        <w:t> </w:t>
      </w:r>
      <w:r>
        <w:rPr/>
        <w:t>encrassement</w:t>
      </w:r>
      <w:r>
        <w:rPr>
          <w:spacing w:val="-4"/>
        </w:rPr>
        <w:t> </w:t>
      </w:r>
      <w:r>
        <w:rPr/>
        <w:t>lors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construction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283" w:hanging="1418"/>
      </w:pPr>
      <w:r>
        <w:rPr>
          <w:b/>
          <w:spacing w:val="-2"/>
        </w:rPr>
        <w:t>Esthétique</w:t>
      </w:r>
      <w:r>
        <w:rPr>
          <w:b/>
        </w:rPr>
        <w:tab/>
      </w:r>
      <w:r>
        <w:rPr>
          <w:position w:val="1"/>
        </w:rPr>
        <w:t>En</w:t>
      </w:r>
      <w:r>
        <w:rPr>
          <w:spacing w:val="-7"/>
          <w:position w:val="1"/>
        </w:rPr>
        <w:t> </w:t>
      </w:r>
      <w:r>
        <w:rPr>
          <w:position w:val="1"/>
        </w:rPr>
        <w:t>variante</w:t>
      </w:r>
      <w:r>
        <w:rPr>
          <w:spacing w:val="-9"/>
          <w:position w:val="1"/>
        </w:rPr>
        <w:t> </w:t>
      </w:r>
      <w:r>
        <w:rPr>
          <w:position w:val="1"/>
        </w:rPr>
        <w:t>de</w:t>
      </w:r>
      <w:r>
        <w:rPr>
          <w:spacing w:val="-3"/>
          <w:position w:val="1"/>
        </w:rPr>
        <w:t> </w:t>
      </w:r>
      <w:r>
        <w:rPr>
          <w:position w:val="1"/>
        </w:rPr>
        <w:t>design</w:t>
      </w:r>
      <w:r>
        <w:rPr>
          <w:spacing w:val="-1"/>
          <w:position w:val="1"/>
        </w:rPr>
        <w:t> </w:t>
      </w:r>
      <w:r>
        <w:rPr>
          <w:position w:val="1"/>
        </w:rPr>
        <w:t>«</w:t>
      </w:r>
      <w:r>
        <w:rPr>
          <w:spacing w:val="-11"/>
          <w:position w:val="1"/>
        </w:rPr>
        <w:t> </w:t>
      </w:r>
      <w:r>
        <w:rPr>
          <w:position w:val="1"/>
        </w:rPr>
        <w:t>Black</w:t>
      </w:r>
      <w:r>
        <w:rPr>
          <w:spacing w:val="-5"/>
          <w:position w:val="1"/>
        </w:rPr>
        <w:t> </w:t>
      </w:r>
      <w:r>
        <w:rPr>
          <w:position w:val="1"/>
        </w:rPr>
        <w:t>Edition</w:t>
      </w:r>
      <w:r>
        <w:rPr>
          <w:spacing w:val="-7"/>
          <w:position w:val="1"/>
        </w:rPr>
        <w:t> </w:t>
      </w:r>
      <w:r>
        <w:rPr>
          <w:position w:val="1"/>
        </w:rPr>
        <w:t>»,</w:t>
      </w:r>
      <w:r>
        <w:rPr>
          <w:spacing w:val="-3"/>
          <w:position w:val="1"/>
        </w:rPr>
        <w:t> </w:t>
      </w:r>
      <w:r>
        <w:rPr>
          <w:position w:val="1"/>
        </w:rPr>
        <w:t>également</w:t>
      </w:r>
      <w:r>
        <w:rPr>
          <w:spacing w:val="-10"/>
          <w:position w:val="1"/>
        </w:rPr>
        <w:t> </w:t>
      </w:r>
      <w:r>
        <w:rPr>
          <w:position w:val="1"/>
        </w:rPr>
        <w:t>disponible</w:t>
      </w:r>
      <w:r>
        <w:rPr>
          <w:spacing w:val="-3"/>
          <w:position w:val="1"/>
        </w:rPr>
        <w:t> </w:t>
      </w:r>
      <w:r>
        <w:rPr>
          <w:position w:val="1"/>
        </w:rPr>
        <w:t>en</w:t>
      </w:r>
      <w:r>
        <w:rPr>
          <w:spacing w:val="-7"/>
          <w:position w:val="1"/>
        </w:rPr>
        <w:t> </w:t>
      </w:r>
      <w:r>
        <w:rPr>
          <w:position w:val="1"/>
        </w:rPr>
        <w:t>noir </w:t>
      </w:r>
      <w:r>
        <w:rPr/>
        <w:t>pour un aspect particulièrement attractif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30–80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Hauteur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2700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Largeur de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1600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4"/>
        </w:rPr>
        <w:t> </w:t>
      </w:r>
      <w:r>
        <w:rPr/>
        <w:t>max.</w:t>
      </w:r>
      <w:r>
        <w:rPr>
          <w:spacing w:val="-4"/>
        </w:rPr>
        <w:t> </w:t>
      </w:r>
      <w:r>
        <w:rPr>
          <w:spacing w:val="-2"/>
        </w:rPr>
        <w:t>d`ouverture</w:t>
      </w:r>
      <w:r>
        <w:rPr/>
        <w:tab/>
        <w:t>1535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+/–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Matérielle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7154" w:val="left" w:leader="none"/>
        </w:tabs>
        <w:spacing w:line="302" w:lineRule="exact" w:before="26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  <w:r>
        <w:rPr/>
        <w:tab/>
      </w:r>
      <w:r>
        <w:rPr>
          <w:position w:val="12"/>
        </w:rPr>
        <w:t>Aluminium</w:t>
      </w:r>
      <w:r>
        <w:rPr>
          <w:spacing w:val="-8"/>
          <w:position w:val="12"/>
        </w:rPr>
        <w:t> </w:t>
      </w:r>
      <w:r>
        <w:rPr>
          <w:position w:val="12"/>
        </w:rPr>
        <w:t>/</w:t>
      </w:r>
      <w:r>
        <w:rPr>
          <w:spacing w:val="-7"/>
          <w:position w:val="12"/>
        </w:rPr>
        <w:t> </w:t>
      </w:r>
      <w:r>
        <w:rPr>
          <w:position w:val="12"/>
        </w:rPr>
        <w:t>aluminium</w:t>
      </w:r>
      <w:r>
        <w:rPr>
          <w:spacing w:val="-8"/>
          <w:position w:val="12"/>
        </w:rPr>
        <w:t> </w:t>
      </w:r>
      <w:r>
        <w:rPr>
          <w:position w:val="12"/>
        </w:rPr>
        <w:t>anodisé</w:t>
      </w:r>
      <w:r>
        <w:rPr>
          <w:spacing w:val="-12"/>
          <w:position w:val="12"/>
        </w:rPr>
        <w:t> </w:t>
      </w:r>
      <w:r>
        <w:rPr>
          <w:spacing w:val="-10"/>
          <w:position w:val="12"/>
        </w:rPr>
        <w:t>/</w:t>
      </w:r>
    </w:p>
    <w:p>
      <w:pPr>
        <w:pStyle w:val="BodyText"/>
        <w:spacing w:line="182" w:lineRule="exact"/>
        <w:ind w:left="7154"/>
      </w:pPr>
      <w:r>
        <w:rPr/>
        <w:t>aluminium</w:t>
      </w:r>
      <w:r>
        <w:rPr>
          <w:spacing w:val="-9"/>
        </w:rPr>
        <w:t> </w:t>
      </w:r>
      <w:r>
        <w:rPr/>
        <w:t>anodisé</w:t>
      </w:r>
      <w:r>
        <w:rPr>
          <w:spacing w:val="-9"/>
        </w:rPr>
        <w:t> </w:t>
      </w:r>
      <w:r>
        <w:rPr>
          <w:spacing w:val="-4"/>
        </w:rPr>
        <w:t>noir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3"/>
        <w:ind w:left="0" w:right="3366" w:firstLine="0"/>
        <w:jc w:val="righ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1"/>
          <w:position w:val="1"/>
          <w:sz w:val="20"/>
        </w:rPr>
        <w:t> </w:t>
      </w:r>
      <w:r>
        <w:rPr>
          <w:spacing w:val="-2"/>
          <w:position w:val="1"/>
          <w:sz w:val="20"/>
        </w:rPr>
        <w:t>plafond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366"/>
        <w:jc w:val="right"/>
      </w:pP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  <w:r>
        <w:rPr/>
        <w:tab/>
      </w:r>
      <w:r>
        <w:rPr>
          <w:spacing w:val="-5"/>
        </w:rPr>
        <w:t>Oui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042" w:val="left" w:leader="none"/>
        </w:tabs>
        <w:spacing w:before="53"/>
        <w:ind w:left="0" w:right="3366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366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366"/>
        <w:jc w:val="right"/>
      </w:pPr>
      <w:r>
        <w:rPr/>
        <w:t>Utilisation</w:t>
      </w:r>
      <w:r>
        <w:rPr>
          <w:spacing w:val="-6"/>
        </w:rPr>
        <w:t> </w:t>
      </w:r>
      <w:r>
        <w:rPr/>
        <w:t>élevée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Accès</w:t>
      </w:r>
      <w:r>
        <w:rPr>
          <w:spacing w:val="-1"/>
        </w:rPr>
        <w:t> 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before="48"/>
        <w:ind w:left="2461" w:right="79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110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100</w:t>
      </w:r>
      <w:r>
        <w:rPr>
          <w:spacing w:val="-4"/>
        </w:rPr>
        <w:t> </w:t>
      </w:r>
      <w:r>
        <w:rPr/>
        <w:t>H</w:t>
      </w:r>
      <w:r>
        <w:rPr>
          <w:spacing w:val="-4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roulement,</w:t>
      </w:r>
      <w:r>
        <w:rPr>
          <w:spacing w:val="-4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 blocage, bride de support, guidage au sol sans jeu.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ind w:left="2461" w:right="4586"/>
      </w:pPr>
      <w:r>
        <w:rPr/>
        <w:t>(….)</w:t>
      </w:r>
      <w:r>
        <w:rPr>
          <w:spacing w:val="-10"/>
        </w:rPr>
        <w:t> </w:t>
      </w:r>
      <w:r>
        <w:rPr/>
        <w:t>Kit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montage</w:t>
      </w:r>
      <w:r>
        <w:rPr>
          <w:spacing w:val="-8"/>
        </w:rPr>
        <w:t> </w:t>
      </w:r>
      <w:r>
        <w:rPr/>
        <w:t>Hawa</w:t>
      </w:r>
      <w:r>
        <w:rPr>
          <w:spacing w:val="-8"/>
        </w:rPr>
        <w:t> </w:t>
      </w:r>
      <w:r>
        <w:rPr/>
        <w:t>Porta</w:t>
      </w:r>
      <w:r>
        <w:rPr>
          <w:spacing w:val="-8"/>
        </w:rPr>
        <w:t> </w:t>
      </w:r>
      <w:r>
        <w:rPr/>
        <w:t>60/100 (….) Cache à clipser, aluminium</w:t>
      </w:r>
    </w:p>
    <w:p>
      <w:pPr>
        <w:pStyle w:val="BodyText"/>
        <w:ind w:left="2461" w:right="4586"/>
      </w:pPr>
      <w:r>
        <w:rPr/>
        <w:t>(….)</w:t>
      </w:r>
      <w:r>
        <w:rPr>
          <w:spacing w:val="-9"/>
        </w:rPr>
        <w:t> </w:t>
      </w:r>
      <w:r>
        <w:rPr/>
        <w:t>Clip,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cache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bois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aluminium (….) Amortisseur Hawa Porta 100</w:t>
      </w:r>
    </w:p>
    <w:p>
      <w:pPr>
        <w:pStyle w:val="BodyText"/>
        <w:ind w:left="2461" w:right="4586"/>
      </w:pPr>
      <w:r>
        <w:rPr/>
        <w:t>(….)</w:t>
      </w:r>
      <w:r>
        <w:rPr>
          <w:spacing w:val="-10"/>
        </w:rPr>
        <w:t> </w:t>
      </w:r>
      <w:r>
        <w:rPr/>
        <w:t>Cache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ouverture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montage (….) Équerres pour montage mural</w:t>
      </w:r>
    </w:p>
    <w:p>
      <w:pPr>
        <w:pStyle w:val="BodyText"/>
        <w:spacing w:line="231" w:lineRule="exact"/>
        <w:ind w:left="2461"/>
      </w:pPr>
      <w:r>
        <w:rPr/>
        <w:t>(….)</w:t>
      </w:r>
      <w:r>
        <w:rPr>
          <w:spacing w:val="-8"/>
        </w:rPr>
        <w:t> </w:t>
      </w:r>
      <w:r>
        <w:rPr/>
        <w:t>Jeu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montage</w:t>
      </w:r>
      <w:r>
        <w:rPr>
          <w:spacing w:val="-5"/>
        </w:rPr>
        <w:t> </w:t>
      </w:r>
      <w:r>
        <w:rPr/>
        <w:t>mural,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2"/>
        </w:rPr>
        <w:t>galet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 w:before="1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sectPr>
      <w:pgSz w:w="11910" w:h="16840"/>
      <w:pgMar w:header="401" w:footer="1105" w:top="196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2540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2489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953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0048">
          <wp:simplePos x="0" y="0"/>
          <wp:positionH relativeFrom="page">
            <wp:posOffset>5739255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667pt;width:33.85pt;height:13.95pt;mso-position-horizontal-relative:page;mso-position-vertical-relative:page;z-index:-1582592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6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8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0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2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4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6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8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12" w:right="244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2023-03-07T10:02:58Z</dcterms:created>
  <dcterms:modified xsi:type="dcterms:W3CDTF">2023-03-07T10:02:58Z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