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15728640" id="docshapegroup4" coordorigin="62,1983" coordsize="11783,8159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231" id="docshape11" coordorigin="62,4375" coordsize="11783,1231" path="m11845,5067l11834,5067,11834,4375,1111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2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4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5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6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7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18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19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0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1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2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3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4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5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6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7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28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29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0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1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2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5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539" id="docshape38" coordorigin="62,7647" coordsize="11783,539" path="m11845,7647l11289,7647,7615,7647,2897,7647,62,7647,62,8185,2897,8185,7615,8185,11289,8185,11845,8185,11845,7647xe" filled="true" fillcolor="#f4f4f4" stroked="false">
              <v:path arrowok="t"/>
              <v:fill type="solid"/>
            </v:shape>
            <v:rect style="position:absolute;left:2897;top:8162;width:4718;height:23" id="docshape39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0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id="docshape41" coordorigin="62,8185" coordsize="11783,256" path="m11845,8185l11289,8185,7615,8185,2897,8185,62,8185,62,8441,2897,8441,7615,8441,11289,8441,11845,8441,11845,8185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id="docshape47" coordorigin="62,8696" coordsize="11783,539" path="m11845,8696l11289,8696,7615,8696,2897,8696,62,8696,62,9234,2897,9234,7615,9234,11289,9234,11845,9234,11845,8696xe" filled="true" fillcolor="#f4f4f4" stroked="false">
              <v:path arrowok="t"/>
              <v:fill type="solid"/>
            </v:shape>
            <v:rect style="position:absolute;left:2897;top:9211;width:4718;height:23" id="docshape48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9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50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1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2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53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4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5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id="docshape56" filled="true" fillcolor="#f4f4f4" stroked="false">
              <v:fill type="solid"/>
            </v:rect>
            <v:shape style="position:absolute;left:572;top:2243;width:10350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785;width:5684;height:431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galandage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applique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possibles</w:t>
                    </w:r>
                  </w:p>
                </w:txbxContent>
              </v:textbox>
              <w10:wrap type="none"/>
            </v:shape>
            <v:shape style="position:absolute;left:3464;top:4534;width:7437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dans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galandage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après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achèvement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travaux</w:t>
                    </w:r>
                  </w:p>
                </w:txbxContent>
              </v:textbox>
              <w10:wrap type="none"/>
            </v:shape>
            <v:shape style="position:absolute;left:572;top:5396;width:5773;height:2240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396;width:2798;height:2240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1560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7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987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975;width:2639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975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024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024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8"/>
        <w:ind w:left="2461" w:right="7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0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HMT</w:t>
      </w:r>
      <w:r>
        <w:rPr>
          <w:spacing w:val="-3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 de blocage, porte-chariot, guidage de fond inférieur sans jeu.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4517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8"/>
        </w:rPr>
        <w:t> </w:t>
      </w:r>
      <w:r>
        <w:rPr/>
        <w:t>60/100 (….) Amortisseur Hawa Porta 100</w:t>
      </w:r>
    </w:p>
    <w:p>
      <w:pPr>
        <w:pStyle w:val="BodyText"/>
        <w:ind w:left="2461" w:right="1610"/>
      </w:pPr>
      <w:r>
        <w:rPr/>
        <w:t>(….)</w:t>
      </w:r>
      <w:r>
        <w:rPr>
          <w:spacing w:val="-8"/>
        </w:rPr>
        <w:t> </w:t>
      </w:r>
      <w:r>
        <w:rPr/>
        <w:t>Push-to-open</w:t>
      </w:r>
      <w:r>
        <w:rPr>
          <w:spacing w:val="-7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100,</w:t>
      </w:r>
      <w:r>
        <w:rPr>
          <w:spacing w:val="-7"/>
        </w:rPr>
        <w:t> </w:t>
      </w:r>
      <w:r>
        <w:rPr/>
        <w:t>40–100</w:t>
      </w:r>
      <w:r>
        <w:rPr>
          <w:spacing w:val="-7"/>
        </w:rPr>
        <w:t> </w:t>
      </w:r>
      <w:r>
        <w:rPr/>
        <w:t>kg,</w:t>
      </w:r>
      <w:r>
        <w:rPr>
          <w:spacing w:val="-7"/>
        </w:rPr>
        <w:t> </w:t>
      </w:r>
      <w:r>
        <w:rPr/>
        <w:t>avec</w:t>
      </w:r>
      <w:r>
        <w:rPr>
          <w:spacing w:val="-6"/>
        </w:rPr>
        <w:t> </w:t>
      </w:r>
      <w:r>
        <w:rPr/>
        <w:t>retour</w:t>
      </w:r>
      <w:r>
        <w:rPr>
          <w:spacing w:val="-6"/>
        </w:rPr>
        <w:t> </w:t>
      </w:r>
      <w:r>
        <w:rPr/>
        <w:t>automatique (….) Cache pour ouverture de montage</w:t>
      </w:r>
    </w:p>
    <w:p>
      <w:pPr>
        <w:pStyle w:val="BodyText"/>
        <w:ind w:left="2461" w:right="2799"/>
      </w:pPr>
      <w:r>
        <w:rPr/>
        <w:t>(….)</w:t>
      </w:r>
      <w:r>
        <w:rPr>
          <w:spacing w:val="-6"/>
        </w:rPr>
        <w:t> </w:t>
      </w:r>
      <w:r>
        <w:rPr/>
        <w:t>Jeu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 (….) Jeu de vis pour intégration au plafond, +15mm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boîtier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7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483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432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4961539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873901pt;margin-top:68.660667pt;width:91.4pt;height:13.95pt;mso-position-horizontal-relative:page;mso-position-vertical-relative:page;z-index:-1586534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HMT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2023-03-07T10:08:16Z</dcterms:created>
  <dcterms:modified xsi:type="dcterms:W3CDTF">2023-03-07T10:08:16Z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