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15728640" id="docshapegroup4" coordorigin="62,1983" coordsize="11783,739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<v:path arrowok="t"/>
              <v:fill type="solid"/>
            </v:shape>
            <v:rect style="position:absolute;left:2897;top:5072;width:4718;height:23" id="docshape12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id="docshape1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<v:path arrowok="t"/>
              <v:fill type="solid"/>
            </v:shape>
            <v:rect style="position:absolute;left:2897;top:5327;width:4718;height:23" id="docshape15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id="docshape16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<v:path arrowok="t"/>
              <v:fill type="solid"/>
            </v:shape>
            <v:rect style="position:absolute;left:2897;top:5583;width:4718;height:23" id="docshape18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9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21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22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3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3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3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id="docshape35" coordorigin="62,6881" coordsize="11783,539" path="m11845,6881l11289,6881,7615,6881,2897,6881,62,6881,62,7420,2897,7420,7615,7420,11289,7420,11845,7420,11845,6881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<v:path arrowok="t"/>
              <v:fill type="solid"/>
            </v:shape>
            <v:rect style="position:absolute;left:2897;top:7652;width:4718;height:23" id="docshape39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40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<v:path arrowok="t"/>
              <v:fill type="solid"/>
            </v:shape>
            <v:rect style="position:absolute;left:2897;top:7907;width:4718;height:23" id="docshape42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4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id="docshape44" coordorigin="62,7930" coordsize="11783,539" path="m11845,7930l11289,7930,7615,7930,2897,7930,62,7930,62,8469,2897,8469,7615,8469,11289,8469,11845,8469,11845,7930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id="docshape47" coordorigin="62,8469" coordsize="11783,256" path="m11845,8469l11289,8469,7615,8469,2897,8469,62,8469,62,8724,2897,8724,7615,8724,11289,8724,11845,8724,11845,8469xe" filled="true" fillcolor="#f4f4f4" stroked="false">
              <v:path arrowok="t"/>
              <v:fill type="solid"/>
            </v:shape>
            <v:rect style="position:absolute;left:2897;top:8701;width:4718;height:23" id="docshape48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9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50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51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52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id="docshape53" filled="true" fillcolor="#f4f4f4" stroked="false">
              <v:fill type="solid"/>
            </v:rect>
            <v:shape style="position:absolute;left:572;top:2243;width:10124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400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Guidage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trois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quatre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points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stabilité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maximale</w:t>
                    </w:r>
                  </w:p>
                </w:txbxContent>
              </v:textbox>
              <w10:wrap type="none"/>
            </v:shape>
            <v:shape style="position:absolute;left:3464;top:4029;width:748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023;width:6100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Coulissement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facile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silencieux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même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lourdes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aux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galets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billes</w:t>
                    </w:r>
                  </w:p>
                </w:txbxContent>
              </v:textbox>
              <w10:wrap type="none"/>
            </v:shape>
            <v:shape style="position:absolute;left:572;top:4885;width:4612;height:198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885;width:1120;height:198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40–100</w:t>
                    </w:r>
                    <w:r>
                      <w:rPr>
                        <w:spacing w:val="-7"/>
                        <w:sz w:val="20"/>
                      </w:rPr>
                      <w:t>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+10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-5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221;width:1886;height:199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210;width:1818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 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210;width:325;height:70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259;width:5928;height:709" type="#_x0000_t202" id="docshape65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259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ind w:left="2461" w:right="75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7"/>
        <w:ind w:left="2461" w:right="140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3"/>
        </w:rPr>
        <w:t> </w:t>
      </w:r>
      <w:r>
        <w:rPr/>
        <w:t>Porta</w:t>
      </w:r>
      <w:r>
        <w:rPr>
          <w:spacing w:val="-3"/>
        </w:rPr>
        <w:t> </w:t>
      </w:r>
      <w:r>
        <w:rPr/>
        <w:t>600</w:t>
      </w:r>
      <w:r>
        <w:rPr>
          <w:spacing w:val="-4"/>
        </w:rPr>
        <w:t> </w:t>
      </w:r>
      <w:r>
        <w:rPr/>
        <w:t>H</w:t>
      </w:r>
      <w:r>
        <w:rPr>
          <w:spacing w:val="-4"/>
        </w:rPr>
        <w:t> </w:t>
      </w:r>
      <w:r>
        <w:rPr/>
        <w:t>composé</w:t>
      </w:r>
      <w:r>
        <w:rPr>
          <w:spacing w:val="-3"/>
        </w:rPr>
        <w:t> </w:t>
      </w:r>
      <w:r>
        <w:rPr/>
        <w:t>d'un</w:t>
      </w:r>
      <w:r>
        <w:rPr>
          <w:spacing w:val="-4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(acier),</w:t>
      </w:r>
      <w:r>
        <w:rPr>
          <w:spacing w:val="-4"/>
        </w:rPr>
        <w:t> </w:t>
      </w:r>
      <w:r>
        <w:rPr/>
        <w:t>chariots</w:t>
      </w:r>
      <w:r>
        <w:rPr>
          <w:spacing w:val="-3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billes,</w:t>
      </w:r>
      <w:r>
        <w:rPr>
          <w:spacing w:val="-4"/>
        </w:rPr>
        <w:t> </w:t>
      </w:r>
      <w:r>
        <w:rPr/>
        <w:t>butée avec tampon en caoutchouc, bride de support, butée au sol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guidage</w:t>
      </w:r>
      <w:r>
        <w:rPr>
          <w:spacing w:val="-5"/>
        </w:rPr>
        <w:t> </w:t>
      </w:r>
      <w:r>
        <w:rPr>
          <w:spacing w:val="-4"/>
        </w:rPr>
        <w:t>acier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Guidage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/>
        <w:t>sol</w:t>
      </w:r>
      <w:r>
        <w:rPr>
          <w:spacing w:val="-7"/>
        </w:rPr>
        <w:t> </w:t>
      </w:r>
      <w:r>
        <w:rPr/>
        <w:t>d’équerre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support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Raccord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rails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vissée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soudée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bride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25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7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(25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25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acier)</w:t>
      </w:r>
    </w:p>
    <w:sectPr>
      <w:pgSz w:w="11910" w:h="16840"/>
      <w:pgMar w:header="401" w:footer="1105" w:top="1960" w:bottom="1300" w:left="4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817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766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7280">
          <wp:simplePos x="0" y="0"/>
          <wp:positionH relativeFrom="page">
            <wp:posOffset>5739255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25781pt;margin-top:68.660667pt;width:33.85pt;height:13.95pt;mso-position-horizontal-relative:page;mso-position-vertical-relative:page;z-index:-1585868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36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53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70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87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0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21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38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55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2023-03-07T10:13:07Z</dcterms:created>
  <dcterms:modified xsi:type="dcterms:W3CDTF">2023-03-07T10:13:07Z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