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418.15pt;mso-position-horizontal-relative:page;mso-position-vertical-relative:page;z-index:-7432" coordorigin="62,1983" coordsize="11783,8363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42;top:4381;width:420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256" coordorigin="62,6065" coordsize="11783,256" path="m11845,6065l11289,6065,7615,6065,2897,6065,62,6065,62,6320,2897,6320,7615,6320,11289,6320,11845,6320,11845,6065e" filled="true" fillcolor="#f4f4f4" stroked="false">
              <v:path arrowok="t"/>
              <v:fill type="solid"/>
            </v:shape>
            <v:rect style="position:absolute;left:2897;top:6297;width:4718;height:23" filled="true" fillcolor="#dcdcdc" stroked="false">
              <v:fill type="solid"/>
            </v:rect>
            <v:line style="position:absolute" from="2909,6309" to="7604,6309" stroked="true" strokeweight="0pt" strokecolor="#dcdcdc">
              <v:stroke dashstyle="solid"/>
            </v:line>
            <v:rect style="position:absolute;left:7615;top:6297;width:3675;height:23" filled="true" fillcolor="#dcdcdc" stroked="false">
              <v:fill type="solid"/>
            </v:rect>
            <v:line style="position:absolute" from="7626,6309" to="11278,6309" stroked="true" strokeweight="0pt" strokecolor="#dcdcdc">
              <v:stroke dashstyle="solid"/>
            </v:line>
            <v:shape style="position:absolute;left:62;top:6320;width:11783;height:256" coordorigin="62,6320" coordsize="11783,256" path="m11845,6320l11289,6320,7615,6320,2897,6320,62,6320,62,6575,2897,6575,7615,6575,11289,6575,11845,6575,11845,6320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766" coordorigin="62,7086" coordsize="11783,766" path="m11845,7086l11289,7086,7615,7086,2897,7086,62,7086,62,7341,62,7851,2897,7851,7615,7851,11289,7851,11845,7851,11845,7341,11845,7086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539" coordorigin="62,8900" coordsize="11783,539" path="m11845,8900l11289,8900,7615,8900,2897,8900,62,8900,62,9438,2897,9438,7615,9438,11289,9438,11845,9438,11845,8900e" filled="true" fillcolor="#f4f4f4" stroked="false">
              <v:path arrowok="t"/>
              <v:fill type="solid"/>
            </v:shape>
            <v:rect style="position:absolute;left:2897;top:9415;width:4718;height:23" filled="true" fillcolor="#dcdcdc" stroked="false">
              <v:fill type="solid"/>
            </v:rect>
            <v:line style="position:absolute" from="2909,9427" to="7604,9427" stroked="true" strokeweight="0pt" strokecolor="#dcdcdc">
              <v:stroke dashstyle="solid"/>
            </v:line>
            <v:rect style="position:absolute;left:7615;top:9415;width:3675;height:23" filled="true" fillcolor="#dcdcdc" stroked="false">
              <v:fill type="solid"/>
            </v:rect>
            <v:line style="position:absolute" from="7626,9427" to="11278,9427" stroked="true" strokeweight="0pt" strokecolor="#dcdcdc">
              <v:stroke dashstyle="solid"/>
            </v:line>
            <v:shape style="position:absolute;left:62;top:9438;width:11783;height:256" coordorigin="62,9438" coordsize="11783,256" path="m11845,9438l11289,9438,7615,9438,2897,9438,62,9438,62,9694,2897,9694,7615,9694,11289,9694,11845,9694,11845,9438e" filled="true" fillcolor="#f4f4f4" stroked="false">
              <v:path arrowok="t"/>
              <v:fill type="solid"/>
            </v:shape>
            <v:rect style="position:absolute;left:2897;top:9670;width:4718;height:23" filled="true" fillcolor="#dcdcdc" stroked="false">
              <v:fill type="solid"/>
            </v:rect>
            <v:line style="position:absolute" from="2909,9682" to="7604,9682" stroked="true" strokeweight="0pt" strokecolor="#dcdcdc">
              <v:stroke dashstyle="solid"/>
            </v:line>
            <v:rect style="position:absolute;left:7615;top:9670;width:3675;height:23" filled="true" fillcolor="#dcdcdc" stroked="false">
              <v:fill type="solid"/>
            </v:rect>
            <v:line style="position:absolute" from="7626,9682" to="11278,9682" stroked="true" strokeweight="0pt" strokecolor="#dcdcdc">
              <v:stroke dashstyle="solid"/>
            </v:line>
            <v:shape style="position:absolute;left:62;top:9693;width:11783;height:256" coordorigin="62,9694" coordsize="11783,256" path="m11845,9694l11289,9694,7615,9694,2897,9694,62,9694,62,9949,2897,9949,7615,9949,11289,9949,11845,9949,11845,9694e" filled="true" fillcolor="#f4f4f4" stroked="false">
              <v:path arrowok="t"/>
              <v:fill type="solid"/>
            </v:shape>
            <v:rect style="position:absolute;left:2897;top:9926;width:4718;height:23" filled="true" fillcolor="#dcdcdc" stroked="false">
              <v:fill type="solid"/>
            </v:rect>
            <v:line style="position:absolute" from="2909,9937" to="7604,9937" stroked="true" strokeweight="0pt" strokecolor="#dcdcdc">
              <v:stroke dashstyle="solid"/>
            </v:line>
            <v:rect style="position:absolute;left:7615;top:9926;width:3675;height:23" filled="true" fillcolor="#dcdcdc" stroked="false">
              <v:fill type="solid"/>
            </v:rect>
            <v:line style="position:absolute" from="7626,9937" to="11278,9937" stroked="true" strokeweight="0pt" strokecolor="#dcdcdc">
              <v:stroke dashstyle="solid"/>
            </v:line>
            <v:rect style="position:absolute;left:62;top:9948;width:11772;height:397" filled="true" fillcolor="#f4f4f4" stroked="false">
              <v:fill type="solid"/>
            </v:rect>
            <v:shape style="position:absolute;left:572;top:2243;width:1037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suspension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invisible.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Montage au 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999;height:6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Seul système coulissant disponible sur le marché permettant des</w:t>
                    </w:r>
                  </w:p>
                  <w:p>
                    <w:pPr>
                      <w:spacing w:before="0"/>
                      <w:ind w:left="0" w:right="-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séparations de pièces avec des éléments en verre fixe unilatéral ou des galandages de porte en bois et verre</w:t>
                    </w:r>
                  </w:p>
                </w:txbxContent>
              </v:textbox>
              <w10:wrap type="none"/>
            </v:shape>
            <v:shape style="position:absolute;left:3464;top:4488;width:103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4483;width:540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Solutions entièrement en verre sans ferrures visibles grâce à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l’intégration de la technique dans le rail de roulement</w:t>
                    </w:r>
                  </w:p>
                </w:txbxContent>
              </v:textbox>
              <w10:wrap type="none"/>
            </v:shape>
            <v:shape style="position:absolute;left:572;top:5344;width:5773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5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 Hauteur de la porte Max. Largeur de porte Hauteur max. d`ouverture Réglage en hauteur Amortissement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Materiau de la porte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4;top:5344;width:3574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2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+/- 2.5 mm 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Verre</w:t>
                    </w:r>
                  </w:p>
                  <w:p>
                    <w:pPr>
                      <w:spacing w:line="261" w:lineRule="auto" w:before="22"/>
                      <w:ind w:left="0" w:right="-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anodisé;Aluminium anodisé / aluminium d’aspect inox</w:t>
                    </w:r>
                  </w:p>
                </w:txbxContent>
              </v:textbox>
              <w10:wrap type="none"/>
            </v:shape>
            <v:shape style="position:absolute;left:572;top:8191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8179;width:263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22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179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v:shape style="position:absolute;left:572;top:9228;width:5927;height:710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228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 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Garantie</w:t>
      </w:r>
    </w:p>
    <w:p>
      <w:pPr>
        <w:spacing w:line="249" w:lineRule="auto" w:before="106"/>
        <w:ind w:left="112" w:right="108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Serrures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selon EN 1527 /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1998</w:t>
      </w:r>
    </w:p>
    <w:p>
      <w:pPr>
        <w:pStyle w:val="BodyText"/>
        <w:spacing w:line="226" w:lineRule="exact"/>
        <w:ind w:left="112"/>
      </w:pPr>
      <w:r>
        <w:rPr/>
        <w:t>– Durée de la fonctionnalité : Catégorie 3 = 100 000 cycles DIN 68859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/>
      </w:pPr>
      <w:r>
        <w:rPr/>
        <w:t>Serrures et ferrures de meuble – Ferrures à galets pour portes coulissantes selon DIN 68859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2" w:lineRule="auto"/>
        <w:ind w:left="112" w:right="22"/>
      </w:pPr>
      <w:r>
        <w:rPr/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spacing w:after="0" w:line="242" w:lineRule="auto"/>
        <w:sectPr>
          <w:type w:val="continuous"/>
          <w:pgSz w:w="11910" w:h="16840"/>
          <w:pgMar w:top="1700" w:bottom="1300" w:left="460" w:right="460"/>
          <w:cols w:num="2" w:equalWidth="0">
            <w:col w:w="1467" w:space="881"/>
            <w:col w:w="8642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99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</w:t>
      </w:r>
      <w:r>
        <w:rPr>
          <w:spacing w:val="-4"/>
        </w:rPr>
        <w:t> </w:t>
      </w:r>
      <w:r>
        <w:rPr/>
        <w:t>Puro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composée</w:t>
      </w:r>
      <w:r>
        <w:rPr>
          <w:spacing w:val="-4"/>
        </w:rPr>
        <w:t> </w:t>
      </w:r>
      <w:r>
        <w:rPr/>
        <w:t>d’un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chariot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billes,</w:t>
      </w:r>
      <w:r>
        <w:rPr>
          <w:spacing w:val="-4"/>
        </w:rPr>
        <w:t> </w:t>
      </w:r>
      <w:r>
        <w:rPr/>
        <w:t>cale de suspension, butée de rail, guidage au sol sans</w:t>
      </w:r>
      <w:r>
        <w:rPr>
          <w:spacing w:val="-9"/>
        </w:rPr>
        <w:t> </w:t>
      </w:r>
      <w:r>
        <w:rPr/>
        <w:t>jeu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 option :</w:t>
      </w:r>
    </w:p>
    <w:p>
      <w:pPr>
        <w:pStyle w:val="BodyText"/>
        <w:spacing w:line="232" w:lineRule="exact"/>
        <w:ind w:left="2461"/>
      </w:pPr>
      <w:r>
        <w:rPr/>
        <w:t>(….) Profil de guidage</w:t>
      </w:r>
    </w:p>
    <w:p>
      <w:pPr>
        <w:pStyle w:val="BodyText"/>
        <w:ind w:left="2461" w:right="4404"/>
      </w:pPr>
      <w:r>
        <w:rPr/>
        <w:t>(….) Guidage au sol pour profil de guidage (….) Serrure Hawa Toplock</w:t>
      </w:r>
    </w:p>
    <w:p>
      <w:pPr>
        <w:pStyle w:val="BodyText"/>
        <w:spacing w:line="237" w:lineRule="auto"/>
        <w:ind w:left="2461" w:right="4726"/>
      </w:pPr>
      <w:r>
        <w:rPr/>
        <w:t>(….) Profil de raccordement au plafond (….) Profil à bétonner Hawa Adapto 100 (….) Profil de jointure murale</w:t>
      </w:r>
    </w:p>
    <w:p>
      <w:pPr>
        <w:pStyle w:val="BodyText"/>
        <w:ind w:left="2461" w:right="5189"/>
      </w:pPr>
      <w:r>
        <w:rPr/>
        <w:t>(….) Profils d'étanchéité verticaux (….) Butée au sol</w:t>
      </w:r>
    </w:p>
    <w:p>
      <w:pPr>
        <w:pStyle w:val="BodyText"/>
        <w:spacing w:line="230" w:lineRule="exact"/>
        <w:ind w:left="2461"/>
      </w:pPr>
      <w:r>
        <w:rPr/>
        <w:t>(….) Kit de fixation pour partie fixe en bois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Panneau de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27" w:right="0" w:hanging="166"/>
        <w:jc w:val="left"/>
        <w:rPr>
          <w:sz w:val="19"/>
        </w:rPr>
      </w:pPr>
      <w:r>
        <w:rPr>
          <w:w w:val="105"/>
          <w:sz w:val="19"/>
        </w:rPr>
        <w:t>Usinage du verre pour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suspension</w:t>
      </w:r>
    </w:p>
    <w:p>
      <w:pPr>
        <w:pStyle w:val="BodyText"/>
        <w:spacing w:before="8"/>
      </w:pPr>
    </w:p>
    <w:p>
      <w:pPr>
        <w:spacing w:before="1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Partie fixe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27" w:right="0" w:hanging="166"/>
        <w:jc w:val="left"/>
        <w:rPr>
          <w:sz w:val="19"/>
        </w:rPr>
      </w:pPr>
      <w:r>
        <w:rPr>
          <w:w w:val="105"/>
          <w:sz w:val="19"/>
        </w:rPr>
        <w:t>Partie fixe possible en bois ou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verre</w:t>
      </w:r>
    </w:p>
    <w:p>
      <w:pPr>
        <w:pStyle w:val="BodyText"/>
        <w:spacing w:before="8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Système à bétonner Hawa Adapto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9" w:lineRule="auto" w:before="9" w:after="0"/>
        <w:ind w:left="2627" w:right="591" w:hanging="166"/>
        <w:jc w:val="left"/>
        <w:rPr>
          <w:sz w:val="19"/>
        </w:rPr>
      </w:pPr>
      <w:r>
        <w:rPr>
          <w:w w:val="105"/>
          <w:sz w:val="19"/>
        </w:rPr>
        <w:t>Le système à bétonner Hawa Adapto 120 est déjà intégré dans le plafond en béton dès la réalisation du gros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œuvre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767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64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71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735">
          <wp:simplePos x="0" y="0"/>
          <wp:positionH relativeFrom="page">
            <wp:posOffset>5958887</wp:posOffset>
          </wp:positionH>
          <wp:positionV relativeFrom="page">
            <wp:posOffset>827043</wp:posOffset>
          </wp:positionV>
          <wp:extent cx="903734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734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33313pt;margin-top:68.660194pt;width:21.95pt;height:13.95pt;mso-position-horizontal-relative:page;mso-position-vertical-relative:page;z-index:-769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56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2023-06-30T10:02:06Z</dcterms:created>
  <dcterms:modified xsi:type="dcterms:W3CDTF">2023-06-30T10:02:06Z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