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9.8pt;mso-position-horizontal-relative:page;mso-position-vertical-relative:page;z-index:-5656" coordorigin="62,1983" coordsize="11783,859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906" coordorigin="62,3344" coordsize="11766,1906" path="m3464,4324l2897,4324,62,4324,62,5249,2897,5249,3464,5249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463" coordorigin="62,4324" coordsize="11783,1463" path="m11845,5249l11834,5249,11834,4324,11119,4324,4882,4324,3464,4324,3464,5249,2897,5249,62,5249,62,5787,2897,5787,7615,5787,11289,5787,11845,5787,11845,5249e" filled="true" fillcolor="#f4f4f4" stroked="false">
              <v:path arrowok="t"/>
              <v:fill type="solid"/>
            </v:shape>
            <v:rect style="position:absolute;left:2897;top:5764;width:4718;height:23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coordorigin="62,5787" coordsize="11783,256" path="m11845,5787l11289,5787,7615,5787,2897,5787,62,5787,62,6042,2897,6042,7615,6042,11289,6042,11845,6042,11845,5787e" filled="true" fillcolor="#f4f4f4" stroked="false">
              <v:path arrowok="t"/>
              <v:fill type="solid"/>
            </v:shape>
            <v:rect style="position:absolute;left:2897;top:6019;width:4718;height:23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coordorigin="62,6042" coordsize="11783,256" path="m11845,6042l11289,6042,7615,6042,2897,6042,62,6042,62,6297,2897,6297,7615,6297,11289,6297,11845,6297,11845,6042e" filled="true" fillcolor="#f4f4f4" stroked="false">
              <v:path arrowok="t"/>
              <v:fill type="solid"/>
            </v:shape>
            <v:rect style="position:absolute;left:2897;top:6274;width:4718;height:23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coordorigin="62,6297" coordsize="11783,256" path="m11845,6297l11289,6297,7615,6297,2897,6297,62,6297,62,6553,2897,6553,7615,6553,11289,6553,11845,6553,11845,6297e" filled="true" fillcolor="#f4f4f4" stroked="false">
              <v:path arrowok="t"/>
              <v:fill type="solid"/>
            </v:shape>
            <v:rect style="position:absolute;left:2897;top:6529;width:4718;height: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coordorigin="62,6553" coordsize="11783,256" path="m11845,6553l11289,6553,7615,6553,2897,6553,62,6553,62,6808,2897,6808,7615,6808,11289,6808,11845,6808,11845,6553e" filled="true" fillcolor="#f4f4f4" stroked="false">
              <v:path arrowok="t"/>
              <v:fill type="solid"/>
            </v:shape>
            <v:rect style="position:absolute;left:2897;top:6785;width:4718;height:23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coordorigin="62,6808" coordsize="11783,256" path="m11845,6808l11289,6808,7615,6808,2897,6808,62,6808,62,7063,2897,7063,7615,7063,11289,7063,11845,7063,11845,6808e" filled="true" fillcolor="#f4f4f4" stroked="false">
              <v:path arrowok="t"/>
              <v:fill type="solid"/>
            </v:shape>
            <v:rect style="position:absolute;left:2897;top:7040;width:4718;height: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coordorigin="62,7063" coordsize="11783,256" path="m11845,7063l11289,7063,7615,7063,2897,7063,62,7063,62,7318,2897,7318,7615,7318,11289,7318,11845,7318,11845,7063e" filled="true" fillcolor="#f4f4f4" stroked="false">
              <v:path arrowok="t"/>
              <v:fill type="solid"/>
            </v:shape>
            <v:rect style="position:absolute;left:2897;top:7295;width:4718;height:23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8;width:11783;height:766" coordorigin="62,7318" coordsize="11783,766" path="m11845,7318l11289,7318,7615,7318,2897,7318,62,7318,62,7573,62,8083,2897,8083,7615,8083,11289,8083,11845,8083,11845,7573,11845,7318e" filled="true" fillcolor="#f4f4f4" stroked="false">
              <v:path arrowok="t"/>
              <v:fill type="solid"/>
            </v:shape>
            <v:rect style="position:absolute;left:2897;top:8060;width:4718;height:23" filled="true" fillcolor="#dcdcdc" stroked="false">
              <v:fill type="solid"/>
            </v:rect>
            <v:line style="position:absolute" from="2909,8072" to="7604,8072" stroked="true" strokeweight="0pt" strokecolor="#dcdcdc">
              <v:stroke dashstyle="solid"/>
            </v:line>
            <v:rect style="position:absolute;left:7615;top:8060;width:3675;height:23" filled="true" fillcolor="#dcdcdc" stroked="false">
              <v:fill type="solid"/>
            </v:rect>
            <v:line style="position:absolute" from="7626,8072" to="11278,8072" stroked="true" strokeweight="0pt" strokecolor="#dcdcdc">
              <v:stroke dashstyle="solid"/>
            </v:line>
            <v:shape style="position:absolute;left:62;top:8083;width:11783;height:539" coordorigin="62,8083" coordsize="11783,539" path="m11845,8083l11289,8083,7615,8083,2897,8083,62,8083,62,8622,2897,8622,7615,8622,11289,8622,11845,8622,11845,8083e" filled="true" fillcolor="#f4f4f4" stroked="false">
              <v:path arrowok="t"/>
              <v:fill type="solid"/>
            </v:shape>
            <v:rect style="position:absolute;left:2897;top:8599;width:4718;height:23" filled="true" fillcolor="#dcdcdc" stroked="false">
              <v:fill type="solid"/>
            </v:rect>
            <v:line style="position:absolute" from="2909,8611" to="7604,8611" stroked="true" strokeweight="0pt" strokecolor="#dcdcdc">
              <v:stroke dashstyle="solid"/>
            </v:line>
            <v:rect style="position:absolute;left:7615;top:8599;width:3675;height:23" filled="true" fillcolor="#dcdcdc" stroked="false">
              <v:fill type="solid"/>
            </v:rect>
            <v:line style="position:absolute" from="7626,8611" to="11278,8611" stroked="true" strokeweight="0pt" strokecolor="#dcdcdc">
              <v:stroke dashstyle="solid"/>
            </v:line>
            <v:shape style="position:absolute;left:62;top:8622;width:11783;height:256" coordorigin="62,8622" coordsize="11783,256" path="m11845,8622l11289,8622,7615,8622,2897,8622,62,8622,62,8877,2897,8877,7615,8877,11289,8877,11845,8877,11845,8622e" filled="true" fillcolor="#f4f4f4" stroked="false">
              <v:path arrowok="t"/>
              <v:fill type="solid"/>
            </v:shape>
            <v:rect style="position:absolute;left:2897;top:8854;width:4718;height:23" filled="true" fillcolor="#dcdcdc" stroked="false">
              <v:fill type="solid"/>
            </v:rect>
            <v:line style="position:absolute" from="2909,8866" to="7604,8866" stroked="true" strokeweight="0pt" strokecolor="#dcdcdc">
              <v:stroke dashstyle="solid"/>
            </v:line>
            <v:rect style="position:absolute;left:7615;top:8854;width:3675;height:23" filled="true" fillcolor="#dcdcdc" stroked="false">
              <v:fill type="solid"/>
            </v:rect>
            <v:line style="position:absolute" from="7626,8866" to="11278,8866" stroked="true" strokeweight="0pt" strokecolor="#dcdcdc">
              <v:stroke dashstyle="solid"/>
            </v:line>
            <v:shape style="position:absolute;left:62;top:8877;width:11783;height:256" coordorigin="62,8877" coordsize="11783,256" path="m11845,8877l11289,8877,7615,8877,2897,8877,62,8877,62,9132,2897,9132,7615,9132,11289,9132,11845,9132,11845,8877e" filled="true" fillcolor="#f4f4f4" stroked="false">
              <v:path arrowok="t"/>
              <v:fill type="solid"/>
            </v:shape>
            <v:rect style="position:absolute;left:2897;top:9109;width:4718;height:23" filled="true" fillcolor="#dcdcdc" stroked="false">
              <v:fill type="solid"/>
            </v:rect>
            <v:line style="position:absolute" from="2909,9121" to="7604,9121" stroked="true" strokeweight="0pt" strokecolor="#dcdcdc">
              <v:stroke dashstyle="solid"/>
            </v:line>
            <v:rect style="position:absolute;left:7615;top:9109;width:3675;height:23" filled="true" fillcolor="#dcdcdc" stroked="false">
              <v:fill type="solid"/>
            </v:rect>
            <v:line style="position:absolute" from="7626,9121" to="11278,9121" stroked="true" strokeweight="0pt" strokecolor="#dcdcdc">
              <v:stroke dashstyle="solid"/>
            </v:line>
            <v:shape style="position:absolute;left:62;top:9132;width:11783;height:539" coordorigin="62,9132" coordsize="11783,539" path="m11845,9132l11289,9132,7615,9132,2897,9132,62,9132,62,9671,2897,9671,7615,9671,11289,9671,11845,9671,11845,9132e" filled="true" fillcolor="#f4f4f4" stroked="false">
              <v:path arrowok="t"/>
              <v:fill type="solid"/>
            </v:shape>
            <v:rect style="position:absolute;left:2897;top:9648;width:4718;height:23" filled="true" fillcolor="#dcdcdc" stroked="false">
              <v:fill type="solid"/>
            </v:rect>
            <v:line style="position:absolute" from="2909,9660" to="7604,9660" stroked="true" strokeweight="0pt" strokecolor="#dcdcdc">
              <v:stroke dashstyle="solid"/>
            </v:line>
            <v:rect style="position:absolute;left:7615;top:9648;width:3675;height:23" filled="true" fillcolor="#dcdcdc" stroked="false">
              <v:fill type="solid"/>
            </v:rect>
            <v:line style="position:absolute" from="7626,9660" to="11278,9660" stroked="true" strokeweight="0pt" strokecolor="#dcdcdc">
              <v:stroke dashstyle="solid"/>
            </v:line>
            <v:shape style="position:absolute;left:62;top:9670;width:11783;height:256" coordorigin="62,9671" coordsize="11783,256" path="m11845,9671l11289,9671,7615,9671,2897,9671,62,9671,62,9926,2897,9926,7615,9926,11289,9926,11845,9926,11845,9671e" filled="true" fillcolor="#f4f4f4" stroked="false">
              <v:path arrowok="t"/>
              <v:fill type="solid"/>
            </v:shape>
            <v:rect style="position:absolute;left:2897;top:9903;width:4718;height:23" filled="true" fillcolor="#dcdcdc" stroked="false">
              <v:fill type="solid"/>
            </v:rect>
            <v:line style="position:absolute" from="2909,9915" to="7604,9915" stroked="true" strokeweight="0pt" strokecolor="#dcdcdc">
              <v:stroke dashstyle="solid"/>
            </v:line>
            <v:rect style="position:absolute;left:7615;top:9903;width:3675;height:23" filled="true" fillcolor="#dcdcdc" stroked="false">
              <v:fill type="solid"/>
            </v:rect>
            <v:line style="position:absolute" from="7626,9915" to="11278,9915" stroked="true" strokeweight="0pt" strokecolor="#dcdcdc">
              <v:stroke dashstyle="solid"/>
            </v:line>
            <v:shape style="position:absolute;left:62;top:9926;width:11783;height:256" coordorigin="62,9926" coordsize="11783,256" path="m11845,9926l11289,9926,7615,9926,2897,9926,62,9926,62,10181,2897,10181,7615,10181,11289,10181,11845,10181,11845,9926e" filled="true" fillcolor="#f4f4f4" stroked="false">
              <v:path arrowok="t"/>
              <v:fill type="solid"/>
            </v:shape>
            <v:rect style="position:absolute;left:2897;top:10158;width:4718;height:23" filled="true" fillcolor="#dcdcdc" stroked="false">
              <v:fill type="solid"/>
            </v:rect>
            <v:line style="position:absolute" from="2909,10170" to="7604,10170" stroked="true" strokeweight="0pt" strokecolor="#dcdcdc">
              <v:stroke dashstyle="solid"/>
            </v:line>
            <v:rect style="position:absolute;left:7615;top:10158;width:3675;height:23" filled="true" fillcolor="#dcdcdc" stroked="false">
              <v:fill type="solid"/>
            </v:rect>
            <v:line style="position:absolute" from="7626,10170" to="11278,10170" stroked="true" strokeweight="0pt" strokecolor="#dcdcdc">
              <v:stroke dashstyle="solid"/>
            </v:line>
            <v:rect style="position:absolute;left:62;top:10181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434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pour 1 porte en verre à roulement en haut jusqu’à 150 kg avec suspension invisible. Montage au plafond.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Flexibilité</w:t>
        <w:tab/>
      </w:r>
      <w:r>
        <w:rPr>
          <w:position w:val="1"/>
          <w:sz w:val="20"/>
        </w:rPr>
        <w:t>Seul système coulissant disponible sur le marché permettant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des</w:t>
      </w:r>
    </w:p>
    <w:p>
      <w:pPr>
        <w:pStyle w:val="BodyText"/>
        <w:ind w:left="4421" w:right="566"/>
      </w:pPr>
      <w:r>
        <w:rPr/>
        <w:t>séparations de pièces avec des éléments en verre fixe unilatéral ou des galandages de porte en bois et verre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421" w:val="left" w:leader="none"/>
        </w:tabs>
        <w:spacing w:line="235" w:lineRule="auto" w:before="52"/>
        <w:ind w:left="4421" w:right="551" w:hanging="1418"/>
      </w:pPr>
      <w:r>
        <w:rPr>
          <w:b/>
        </w:rPr>
        <w:t>Productivité</w:t>
        <w:tab/>
      </w:r>
      <w:r>
        <w:rPr>
          <w:position w:val="1"/>
        </w:rPr>
        <w:t>Système à bétonner Hawa Adapto et profils spéciaux pour une </w:t>
      </w:r>
      <w:r>
        <w:rPr/>
        <w:t>intégration aisée des rails </w:t>
      </w:r>
      <w:r>
        <w:rPr>
          <w:spacing w:val="-3"/>
        </w:rPr>
        <w:t>de </w:t>
      </w:r>
      <w:r>
        <w:rPr/>
        <w:t>roulement dans les plafonds bétonnés et</w:t>
      </w:r>
      <w:r>
        <w:rPr>
          <w:spacing w:val="-1"/>
        </w:rPr>
        <w:t> </w:t>
      </w:r>
      <w:r>
        <w:rPr/>
        <w:t>suspendus</w:t>
      </w:r>
    </w:p>
    <w:p>
      <w:pPr>
        <w:pStyle w:val="BodyText"/>
        <w:spacing w:before="8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Max. Poids de</w:t>
      </w:r>
      <w:r>
        <w:rPr>
          <w:spacing w:val="-8"/>
          <w:position w:val="1"/>
          <w:sz w:val="20"/>
        </w:rPr>
        <w:t> </w:t>
      </w:r>
      <w:r>
        <w:rPr>
          <w:spacing w:val="-3"/>
          <w:position w:val="1"/>
          <w:sz w:val="20"/>
        </w:rPr>
        <w:t>la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porte</w:t>
        <w:tab/>
        <w:t>150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de</w:t>
      </w:r>
      <w:r>
        <w:rPr>
          <w:spacing w:val="1"/>
        </w:rPr>
        <w:t> </w:t>
      </w:r>
      <w:r>
        <w:rPr/>
        <w:t>la porte</w:t>
        <w:tab/>
        <w:t>8–12.7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Hauteur de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1"/>
        </w:rPr>
        <w:t> </w:t>
      </w:r>
      <w:r>
        <w:rPr/>
        <w:t>porte</w:t>
        <w:tab/>
        <w:t>3000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Largeur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porte</w:t>
        <w:tab/>
        <w:t>3000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2"/>
        </w:rPr>
        <w:t> </w:t>
      </w:r>
      <w:r>
        <w:rPr/>
        <w:t>max.</w:t>
      </w:r>
      <w:r>
        <w:rPr>
          <w:spacing w:val="-3"/>
        </w:rPr>
        <w:t> </w:t>
      </w:r>
      <w:r>
        <w:rPr/>
        <w:t>d`ouverture</w:t>
        <w:tab/>
        <w:t>2950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hauteur</w:t>
        <w:tab/>
        <w:t>+/- 2.5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Amortissement</w:t>
        <w:tab/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Materiau de</w:t>
      </w:r>
      <w:r>
        <w:rPr>
          <w:spacing w:val="-4"/>
        </w:rPr>
        <w:t> </w:t>
      </w:r>
      <w:r>
        <w:rPr>
          <w:spacing w:val="-3"/>
        </w:rPr>
        <w:t>la</w:t>
      </w:r>
      <w:r>
        <w:rPr/>
        <w:t> porte</w:t>
        <w:tab/>
        <w:t>Verre</w:t>
      </w:r>
    </w:p>
    <w:p>
      <w:pPr>
        <w:pStyle w:val="BodyText"/>
        <w:tabs>
          <w:tab w:pos="7154" w:val="left" w:leader="none"/>
        </w:tabs>
        <w:spacing w:line="312" w:lineRule="exact" w:before="16"/>
        <w:ind w:left="2437"/>
      </w:pPr>
      <w:r>
        <w:rPr/>
        <w:t>Couleur de finition des</w:t>
      </w:r>
      <w:r>
        <w:rPr>
          <w:spacing w:val="-14"/>
        </w:rPr>
        <w:t> </w:t>
      </w:r>
      <w:r>
        <w:rPr/>
        <w:t>profilés</w:t>
      </w:r>
      <w:r>
        <w:rPr>
          <w:spacing w:val="-4"/>
        </w:rPr>
        <w:t> </w:t>
      </w:r>
      <w:r>
        <w:rPr/>
        <w:t>visibles</w:t>
        <w:tab/>
      </w:r>
      <w:r>
        <w:rPr>
          <w:position w:val="13"/>
        </w:rPr>
        <w:t>A</w:t>
      </w:r>
      <w:r>
        <w:rPr>
          <w:position w:val="12"/>
        </w:rPr>
        <w:t>luminium anodisé;Aluminium anodisé</w:t>
      </w:r>
      <w:r>
        <w:rPr>
          <w:spacing w:val="-13"/>
          <w:position w:val="12"/>
        </w:rPr>
        <w:t> </w:t>
      </w:r>
      <w:r>
        <w:rPr>
          <w:position w:val="12"/>
        </w:rPr>
        <w:t>/</w:t>
      </w:r>
    </w:p>
    <w:p>
      <w:pPr>
        <w:pStyle w:val="BodyText"/>
        <w:spacing w:line="182" w:lineRule="exact"/>
        <w:ind w:left="7154"/>
      </w:pPr>
      <w:r>
        <w:rPr/>
        <w:t>aluminium d’aspect inox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système</w:t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plafond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Montage au</w:t>
      </w:r>
      <w:r>
        <w:rPr>
          <w:spacing w:val="-7"/>
        </w:rPr>
        <w:t> </w:t>
      </w:r>
      <w:r>
        <w:rPr/>
        <w:t>plafond</w:t>
      </w:r>
      <w:r>
        <w:rPr>
          <w:spacing w:val="-1"/>
        </w:rPr>
        <w:t> </w:t>
      </w:r>
      <w:r>
        <w:rPr/>
        <w:t>encastré</w:t>
        <w:tab/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À roulement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haut</w:t>
        <w:tab/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2" w:lineRule="auto" w:before="47"/>
        <w:ind w:left="2461" w:right="957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 et ferrures de bâtiment – Ferrures pour portes coulissantes et pliantes selon EN 1527 /</w:t>
      </w:r>
      <w:r>
        <w:rPr>
          <w:spacing w:val="-3"/>
        </w:rPr>
        <w:t> </w:t>
      </w:r>
      <w:r>
        <w:rPr/>
        <w:t>1998</w:t>
      </w:r>
    </w:p>
    <w:p>
      <w:pPr>
        <w:pStyle w:val="BodyText"/>
        <w:spacing w:line="233" w:lineRule="exact"/>
        <w:ind w:left="2461"/>
      </w:pPr>
      <w:r>
        <w:rPr/>
        <w:t>– Durée de la fonctionnalité : Catégorie 3 = 100 000 cycles DIN 68859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Serrures et ferrures de meuble – Ferrures à galets pour portes coulissantes selon DIN 68859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1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0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4"/>
        </w:rPr>
        <w:t> </w:t>
      </w:r>
      <w:r>
        <w:rPr/>
        <w:t>Puro</w:t>
      </w:r>
      <w:r>
        <w:rPr>
          <w:spacing w:val="-4"/>
        </w:rPr>
        <w:t> </w:t>
      </w:r>
      <w:r>
        <w:rPr/>
        <w:t>150</w:t>
      </w:r>
      <w:r>
        <w:rPr>
          <w:spacing w:val="-5"/>
        </w:rPr>
        <w:t> </w:t>
      </w:r>
      <w:r>
        <w:rPr/>
        <w:t>composée</w:t>
      </w:r>
      <w:r>
        <w:rPr>
          <w:spacing w:val="-4"/>
        </w:rPr>
        <w:t> </w:t>
      </w:r>
      <w:r>
        <w:rPr/>
        <w:t>d’un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chariot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billes,</w:t>
      </w:r>
      <w:r>
        <w:rPr>
          <w:spacing w:val="-4"/>
        </w:rPr>
        <w:t> </w:t>
      </w:r>
      <w:r>
        <w:rPr/>
        <w:t>cale de suspension, butée de rail, guidage au sol sans</w:t>
      </w:r>
      <w:r>
        <w:rPr>
          <w:spacing w:val="-9"/>
        </w:rPr>
        <w:t> </w:t>
      </w:r>
      <w:r>
        <w:rPr/>
        <w:t>jeu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spacing w:line="232" w:lineRule="exact"/>
        <w:ind w:left="2461"/>
      </w:pPr>
      <w:r>
        <w:rPr/>
        <w:t>(….) Profil de guidage</w:t>
      </w:r>
    </w:p>
    <w:p>
      <w:pPr>
        <w:pStyle w:val="BodyText"/>
        <w:ind w:left="2461" w:right="4404"/>
      </w:pPr>
      <w:r>
        <w:rPr/>
        <w:t>(….) Guidage au sol pour profil de guidage (….) Serrure Hawa Toplock</w:t>
      </w:r>
    </w:p>
    <w:p>
      <w:pPr>
        <w:pStyle w:val="BodyText"/>
        <w:spacing w:line="237" w:lineRule="auto"/>
        <w:ind w:left="2461" w:right="4726"/>
      </w:pPr>
      <w:r>
        <w:rPr/>
        <w:t>(….) Profil de raccordement au plafond (….) Profil à bétonner Hawa Adapto 100 (….) Profil de jointure murale</w:t>
      </w:r>
    </w:p>
    <w:p>
      <w:pPr>
        <w:pStyle w:val="BodyText"/>
        <w:ind w:left="2461" w:right="5297"/>
      </w:pPr>
      <w:r>
        <w:rPr/>
        <w:t>(….) Profils d'étanchéité verticaux (… .) Butée au sol</w:t>
      </w:r>
    </w:p>
    <w:p>
      <w:pPr>
        <w:pStyle w:val="BodyText"/>
        <w:spacing w:line="231" w:lineRule="exact"/>
        <w:ind w:left="2461"/>
      </w:pPr>
      <w:r>
        <w:rPr/>
        <w:t>(….) Kit de fixation pour partie fixe en bois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Panneau de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Usinage du verre pour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suspension</w:t>
      </w:r>
    </w:p>
    <w:p>
      <w:pPr>
        <w:pStyle w:val="BodyText"/>
        <w:spacing w:before="8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Partie fixe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Partie fixe possible en bois 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verre</w:t>
      </w:r>
    </w:p>
    <w:p>
      <w:pPr>
        <w:pStyle w:val="BodyText"/>
        <w:spacing w:before="9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Système à bétonner Hawa Adapto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9" w:lineRule="auto" w:before="9" w:after="0"/>
        <w:ind w:left="2627" w:right="606" w:hanging="166"/>
        <w:jc w:val="left"/>
        <w:rPr>
          <w:sz w:val="19"/>
        </w:rPr>
      </w:pPr>
      <w:r>
        <w:rPr>
          <w:w w:val="105"/>
          <w:sz w:val="19"/>
        </w:rPr>
        <w:t>Le système à bétonner Hawa Adapto 120 est déjà intégré dans le plafond en béton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dès la réalisation du gros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œuvre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5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823">
          <wp:simplePos x="0" y="0"/>
          <wp:positionH relativeFrom="page">
            <wp:posOffset>5958887</wp:posOffset>
          </wp:positionH>
          <wp:positionV relativeFrom="page">
            <wp:posOffset>827043</wp:posOffset>
          </wp:positionV>
          <wp:extent cx="903734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73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313pt;margin-top:68.660194pt;width:21.95pt;height:13.95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2023-06-30T11:32:08Z</dcterms:created>
  <dcterms:modified xsi:type="dcterms:W3CDTF">2023-06-30T11:32:08Z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