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9"/>
        <w:rPr>
          <w:rFonts w:ascii="Times New Roman"/>
          <w:sz w:val="17"/>
        </w:rPr>
      </w:pPr>
    </w:p>
    <w:p>
      <w:pPr>
        <w:spacing w:before="42"/>
        <w:ind w:left="0" w:right="100" w:firstLine="0"/>
        <w:jc w:val="right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5688847</wp:posOffset>
            </wp:positionH>
            <wp:positionV relativeFrom="paragraph">
              <wp:posOffset>6143</wp:posOffset>
            </wp:positionV>
            <wp:extent cx="993748" cy="216015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3748" cy="216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356453</wp:posOffset>
            </wp:positionH>
            <wp:positionV relativeFrom="paragraph">
              <wp:posOffset>-566297</wp:posOffset>
            </wp:positionV>
            <wp:extent cx="1220581" cy="831659"/>
            <wp:effectExtent l="0" t="0" r="0" b="0"/>
            <wp:wrapNone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0581" cy="8316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3C78"/>
          <w:sz w:val="24"/>
        </w:rPr>
        <w:t>250 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1910" w:h="16840"/>
          <w:pgMar w:top="380" w:bottom="280" w:left="460" w:right="520"/>
        </w:sectPr>
      </w:pPr>
    </w:p>
    <w:p>
      <w:pPr>
        <w:pStyle w:val="Heading1"/>
        <w:spacing w:before="86"/>
      </w:pPr>
      <w:r>
        <w:rPr/>
        <w:t>Garantie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3"/>
        </w:rPr>
      </w:pPr>
    </w:p>
    <w:p>
      <w:pPr>
        <w:spacing w:before="1"/>
        <w:ind w:left="112" w:right="0" w:firstLine="0"/>
        <w:jc w:val="left"/>
        <w:rPr>
          <w:b/>
          <w:sz w:val="20"/>
        </w:rPr>
      </w:pPr>
      <w:r>
        <w:rPr>
          <w:b/>
          <w:sz w:val="20"/>
        </w:rPr>
        <w:t>Version du produit</w:t>
      </w:r>
    </w:p>
    <w:p>
      <w:pPr>
        <w:pStyle w:val="BodyText"/>
        <w:spacing w:line="244" w:lineRule="auto" w:before="103"/>
        <w:ind w:left="101"/>
      </w:pPr>
      <w:r>
        <w:rPr/>
        <w:br w:type="column"/>
      </w:r>
      <w:r>
        <w:rPr/>
        <w:t>Hawa garantit le bon fonctionnement des produits livrés par ses soins et la durabilité de tous les composants, à l’exception des pièces d’usure, pour une période de 2 ans à compter du transfert du risque.</w:t>
      </w:r>
    </w:p>
    <w:p>
      <w:pPr>
        <w:pStyle w:val="BodyText"/>
        <w:rPr>
          <w:sz w:val="24"/>
        </w:rPr>
      </w:pPr>
    </w:p>
    <w:p>
      <w:pPr>
        <w:pStyle w:val="BodyText"/>
        <w:spacing w:before="8"/>
      </w:pPr>
    </w:p>
    <w:p>
      <w:pPr>
        <w:pStyle w:val="BodyText"/>
        <w:spacing w:line="242" w:lineRule="auto"/>
        <w:ind w:left="101"/>
      </w:pPr>
      <w:r>
        <w:rPr/>
        <w:t>Hawa Super 250 M composée de rail de roulement (acier épaisseur de paroi 5,0 mm), chariot avec 2 galets à roulement à billes, butée de rail, guidage au sol.</w:t>
      </w:r>
    </w:p>
    <w:p>
      <w:pPr>
        <w:pStyle w:val="BodyText"/>
        <w:spacing w:before="2"/>
      </w:pPr>
    </w:p>
    <w:p>
      <w:pPr>
        <w:pStyle w:val="BodyText"/>
        <w:ind w:left="101"/>
      </w:pPr>
      <w:r>
        <w:rPr/>
        <w:t>En option :</w:t>
      </w:r>
    </w:p>
    <w:p>
      <w:pPr>
        <w:pStyle w:val="BodyText"/>
        <w:tabs>
          <w:tab w:pos="427" w:val="left" w:leader="dot"/>
        </w:tabs>
        <w:spacing w:before="3"/>
        <w:ind w:left="101"/>
      </w:pPr>
      <w:r>
        <w:rPr/>
        <w:t>(</w:t>
        <w:tab/>
        <w:t>) Profil de guidage au</w:t>
      </w:r>
      <w:r>
        <w:rPr>
          <w:spacing w:val="-6"/>
        </w:rPr>
        <w:t> </w:t>
      </w:r>
      <w:r>
        <w:rPr/>
        <w:t>sol</w:t>
      </w:r>
    </w:p>
    <w:p>
      <w:pPr>
        <w:pStyle w:val="BodyText"/>
        <w:tabs>
          <w:tab w:pos="427" w:val="left" w:leader="dot"/>
        </w:tabs>
        <w:spacing w:before="2"/>
        <w:ind w:left="101"/>
      </w:pPr>
      <w:r>
        <w:rPr/>
        <w:t>(</w:t>
        <w:tab/>
        <w:t>) Butée au</w:t>
      </w:r>
      <w:r>
        <w:rPr>
          <w:spacing w:val="-4"/>
        </w:rPr>
        <w:t> </w:t>
      </w:r>
      <w:r>
        <w:rPr/>
        <w:t>sol</w:t>
      </w:r>
    </w:p>
    <w:p>
      <w:pPr>
        <w:spacing w:after="0"/>
        <w:sectPr>
          <w:type w:val="continuous"/>
          <w:pgSz w:w="11910" w:h="16840"/>
          <w:pgMar w:top="380" w:bottom="280" w:left="460" w:right="520"/>
          <w:cols w:num="2" w:equalWidth="0">
            <w:col w:w="2064" w:space="296"/>
            <w:col w:w="8570"/>
          </w:cols>
        </w:sectPr>
      </w:pPr>
    </w:p>
    <w:p>
      <w:pPr>
        <w:pStyle w:val="BodyText"/>
      </w:pPr>
      <w:r>
        <w:rPr/>
        <w:pict>
          <v:group style="position:absolute;margin-left:3.118575pt;margin-top:99.139702pt;width:589.15pt;height:371.95pt;mso-position-horizontal-relative:page;mso-position-vertical-relative:page;z-index:-6784" coordorigin="62,1983" coordsize="11783,7439">
            <v:shape style="position:absolute;left:62;top:1982;width:11766;height:1333" coordorigin="62,1983" coordsize="11766,1333" path="m11828,1983l11289,1983,62,1983,62,3315,11289,3315,11828,3315,11828,1983e" filled="true" fillcolor="#f4f4f4" stroked="false">
              <v:path arrowok="t"/>
              <v:fill type="solid"/>
            </v:shape>
            <v:line style="position:absolute" from="62,3329" to="573,3329" stroked="true" strokeweight="1.417425pt" strokecolor="#f4f4f4">
              <v:stroke dashstyle="solid"/>
            </v:line>
            <v:line style="position:absolute" from="573,3329" to="1253,3329" stroked="true" strokeweight="1.417425pt" strokecolor="#ff0000">
              <v:stroke dashstyle="solid"/>
            </v:line>
            <v:line style="position:absolute" from="1253,3329" to="11845,3329" stroked="true" strokeweight="1.417425pt" strokecolor="#f4f4f4">
              <v:stroke dashstyle="solid"/>
            </v:line>
            <v:shape style="position:absolute;left:62;top:3343;width:3403;height:749" coordorigin="62,3344" coordsize="3403,749" path="m3464,3344l2897,3344,62,3344,62,4092,2897,4092,3464,4092,3464,3344e" filled="true" fillcolor="#f4f4f4" stroked="false">
              <v:path arrowok="t"/>
              <v:fill type="solid"/>
            </v:shape>
            <v:shape style="position:absolute;left:2942;top:3400;width:420;height:454" type="#_x0000_t75" stroked="false">
              <v:imagedata r:id="rId7" o:title=""/>
            </v:shape>
            <v:shape style="position:absolute;left:62;top:3343;width:11766;height:1259" coordorigin="62,3344" coordsize="11766,1259" path="m2897,4092l62,4092,62,4602,2897,4602,2897,4092m11828,3344l11289,3344,4882,3344,3464,3344,3464,4092,4882,4092,11289,4092,11828,4092,11828,3344e" filled="true" fillcolor="#f4f4f4" stroked="false">
              <v:path arrowok="t"/>
              <v:fill type="solid"/>
            </v:shape>
            <v:shape style="position:absolute;left:2894;top:4091;width:570;height:511" type="#_x0000_t75" stroked="false">
              <v:imagedata r:id="rId8" o:title=""/>
            </v:shape>
            <v:shape style="position:absolute;left:62;top:4091;width:11783;height:1049" coordorigin="62,4092" coordsize="11783,1049" path="m11845,4602l11834,4602,11834,4092,11119,4092,4882,4092,3464,4092,3464,4602,2897,4602,62,4602,62,5141,2897,5141,7615,5141,11289,5141,11845,5141,11845,4602e" filled="true" fillcolor="#f4f4f4" stroked="false">
              <v:path arrowok="t"/>
              <v:fill type="solid"/>
            </v:shape>
            <v:rect style="position:absolute;left:2897;top:5118;width:4718;height:23" filled="true" fillcolor="#dcdcdc" stroked="false">
              <v:fill type="solid"/>
            </v:rect>
            <v:line style="position:absolute" from="2909,5129" to="7604,5129" stroked="true" strokeweight="0pt" strokecolor="#dcdcdc">
              <v:stroke dashstyle="solid"/>
            </v:line>
            <v:rect style="position:absolute;left:7615;top:5118;width:3675;height:23" filled="true" fillcolor="#dcdcdc" stroked="false">
              <v:fill type="solid"/>
            </v:rect>
            <v:line style="position:absolute" from="7626,5129" to="11278,5129" stroked="true" strokeweight="0pt" strokecolor="#dcdcdc">
              <v:stroke dashstyle="solid"/>
            </v:line>
            <v:shape style="position:absolute;left:62;top:5140;width:11783;height:256" coordorigin="62,5141" coordsize="11783,256" path="m11845,5141l11289,5141,7615,5141,2897,5141,62,5141,62,5396,2897,5396,7615,5396,11289,5396,11845,5396,11845,5141e" filled="true" fillcolor="#f4f4f4" stroked="false">
              <v:path arrowok="t"/>
              <v:fill type="solid"/>
            </v:shape>
            <v:rect style="position:absolute;left:2897;top:5373;width:4718;height:23" filled="true" fillcolor="#dcdcdc" stroked="false">
              <v:fill type="solid"/>
            </v:rect>
            <v:line style="position:absolute" from="2909,5385" to="7604,5385" stroked="true" strokeweight="0pt" strokecolor="#dcdcdc">
              <v:stroke dashstyle="solid"/>
            </v:line>
            <v:rect style="position:absolute;left:7615;top:5373;width:3675;height:23" filled="true" fillcolor="#dcdcdc" stroked="false">
              <v:fill type="solid"/>
            </v:rect>
            <v:line style="position:absolute" from="7626,5385" to="11278,5385" stroked="true" strokeweight="0pt" strokecolor="#dcdcdc">
              <v:stroke dashstyle="solid"/>
            </v:line>
            <v:shape style="position:absolute;left:62;top:5395;width:11783;height:256" coordorigin="62,5396" coordsize="11783,256" path="m11845,5396l11289,5396,7615,5396,2897,5396,62,5396,62,5651,2897,5651,7615,5651,11289,5651,11845,5651,11845,5396e" filled="true" fillcolor="#f4f4f4" stroked="false">
              <v:path arrowok="t"/>
              <v:fill type="solid"/>
            </v:shape>
            <v:rect style="position:absolute;left:2897;top:5628;width:4718;height:23" filled="true" fillcolor="#dcdcdc" stroked="false">
              <v:fill type="solid"/>
            </v:rect>
            <v:line style="position:absolute" from="2909,5640" to="7604,5640" stroked="true" strokeweight="0pt" strokecolor="#dcdcdc">
              <v:stroke dashstyle="solid"/>
            </v:line>
            <v:rect style="position:absolute;left:7615;top:5628;width:3675;height:23" filled="true" fillcolor="#dcdcdc" stroked="false">
              <v:fill type="solid"/>
            </v:rect>
            <v:line style="position:absolute" from="7626,5640" to="11278,5640" stroked="true" strokeweight="0pt" strokecolor="#dcdcdc">
              <v:stroke dashstyle="solid"/>
            </v:line>
            <v:shape style="position:absolute;left:62;top:5651;width:11783;height:256" coordorigin="62,5651" coordsize="11783,256" path="m11845,5651l11289,5651,7615,5651,2897,5651,62,5651,62,5906,2897,5906,7615,5906,11289,5906,11845,5906,11845,5651e" filled="true" fillcolor="#f4f4f4" stroked="false">
              <v:path arrowok="t"/>
              <v:fill type="solid"/>
            </v:shape>
            <v:rect style="position:absolute;left:2897;top:5883;width:4718;height:23" filled="true" fillcolor="#dcdcdc" stroked="false">
              <v:fill type="solid"/>
            </v:rect>
            <v:line style="position:absolute" from="2909,5895" to="7604,5895" stroked="true" strokeweight="0pt" strokecolor="#dcdcdc">
              <v:stroke dashstyle="solid"/>
            </v:line>
            <v:rect style="position:absolute;left:7615;top:5883;width:3675;height:23" filled="true" fillcolor="#dcdcdc" stroked="false">
              <v:fill type="solid"/>
            </v:rect>
            <v:line style="position:absolute" from="7626,5895" to="11278,5895" stroked="true" strokeweight="0pt" strokecolor="#dcdcdc">
              <v:stroke dashstyle="solid"/>
            </v:line>
            <v:shape style="position:absolute;left:62;top:5906;width:11783;height:256" coordorigin="62,5906" coordsize="11783,256" path="m11845,5906l11289,5906,7615,5906,2897,5906,62,5906,62,6161,2897,6161,7615,6161,11289,6161,11845,6161,11845,5906e" filled="true" fillcolor="#f4f4f4" stroked="false">
              <v:path arrowok="t"/>
              <v:fill type="solid"/>
            </v:shape>
            <v:rect style="position:absolute;left:2897;top:6138;width:4718;height:23" filled="true" fillcolor="#dcdcdc" stroked="false">
              <v:fill type="solid"/>
            </v:rect>
            <v:line style="position:absolute" from="2909,6150" to="7604,6150" stroked="true" strokeweight="0pt" strokecolor="#dcdcdc">
              <v:stroke dashstyle="solid"/>
            </v:line>
            <v:rect style="position:absolute;left:7615;top:6138;width:3675;height:23" filled="true" fillcolor="#dcdcdc" stroked="false">
              <v:fill type="solid"/>
            </v:rect>
            <v:line style="position:absolute" from="7626,6150" to="11278,6150" stroked="true" strokeweight="0pt" strokecolor="#dcdcdc">
              <v:stroke dashstyle="solid"/>
            </v:line>
            <v:shape style="position:absolute;left:62;top:6161;width:11783;height:256" coordorigin="62,6161" coordsize="11783,256" path="m11845,6161l11289,6161,7615,6161,2897,6161,62,6161,62,6416,2897,6416,7615,6416,11289,6416,11845,6416,11845,6161e" filled="true" fillcolor="#f4f4f4" stroked="false">
              <v:path arrowok="t"/>
              <v:fill type="solid"/>
            </v:shape>
            <v:rect style="position:absolute;left:2897;top:6393;width:4718;height:23" filled="true" fillcolor="#dcdcdc" stroked="false">
              <v:fill type="solid"/>
            </v:rect>
            <v:line style="position:absolute" from="2909,6405" to="7604,6405" stroked="true" strokeweight="0pt" strokecolor="#dcdcdc">
              <v:stroke dashstyle="solid"/>
            </v:line>
            <v:rect style="position:absolute;left:7615;top:6393;width:3675;height:23" filled="true" fillcolor="#dcdcdc" stroked="false">
              <v:fill type="solid"/>
            </v:rect>
            <v:line style="position:absolute" from="7626,6405" to="11278,6405" stroked="true" strokeweight="0pt" strokecolor="#dcdcdc">
              <v:stroke dashstyle="solid"/>
            </v:line>
            <v:shape style="position:absolute;left:62;top:6416;width:11783;height:256" coordorigin="62,6416" coordsize="11783,256" path="m11845,6416l11289,6416,7615,6416,2897,6416,62,6416,62,6672,2897,6672,7615,6672,11289,6672,11845,6672,11845,6416e" filled="true" fillcolor="#f4f4f4" stroked="false">
              <v:path arrowok="t"/>
              <v:fill type="solid"/>
            </v:shape>
            <v:rect style="position:absolute;left:2897;top:6648;width:4718;height:23" filled="true" fillcolor="#dcdcdc" stroked="false">
              <v:fill type="solid"/>
            </v:rect>
            <v:line style="position:absolute" from="2909,6660" to="7604,6660" stroked="true" strokeweight="0pt" strokecolor="#dcdcdc">
              <v:stroke dashstyle="solid"/>
            </v:line>
            <v:rect style="position:absolute;left:7615;top:6648;width:3675;height:23" filled="true" fillcolor="#dcdcdc" stroked="false">
              <v:fill type="solid"/>
            </v:rect>
            <v:line style="position:absolute" from="7626,6660" to="11278,6660" stroked="true" strokeweight="0pt" strokecolor="#dcdcdc">
              <v:stroke dashstyle="solid"/>
            </v:line>
            <v:shape style="position:absolute;left:62;top:6671;width:11783;height:256" coordorigin="62,6672" coordsize="11783,256" path="m11845,6672l11289,6672,7615,6672,2897,6672,62,6672,62,6927,2897,6927,7615,6927,11289,6927,11845,6927,11845,6672e" filled="true" fillcolor="#f4f4f4" stroked="false">
              <v:path arrowok="t"/>
              <v:fill type="solid"/>
            </v:shape>
            <v:rect style="position:absolute;left:2897;top:6904;width:4718;height:23" filled="true" fillcolor="#dcdcdc" stroked="false">
              <v:fill type="solid"/>
            </v:rect>
            <v:line style="position:absolute" from="2909,6915" to="7604,6915" stroked="true" strokeweight="0pt" strokecolor="#dcdcdc">
              <v:stroke dashstyle="solid"/>
            </v:line>
            <v:rect style="position:absolute;left:7615;top:6904;width:3675;height:23" filled="true" fillcolor="#dcdcdc" stroked="false">
              <v:fill type="solid"/>
            </v:rect>
            <v:line style="position:absolute" from="7626,6915" to="11278,6915" stroked="true" strokeweight="0pt" strokecolor="#dcdcdc">
              <v:stroke dashstyle="solid"/>
            </v:line>
            <v:shape style="position:absolute;left:62;top:6926;width:11783;height:256" coordorigin="62,6927" coordsize="11783,256" path="m11845,6927l11289,6927,7615,6927,2897,6927,62,6927,62,7182,2897,7182,7615,7182,11289,7182,11845,7182,11845,6927e" filled="true" fillcolor="#f4f4f4" stroked="false">
              <v:path arrowok="t"/>
              <v:fill type="solid"/>
            </v:shape>
            <v:rect style="position:absolute;left:2897;top:7159;width:4718;height:23" filled="true" fillcolor="#dcdcdc" stroked="false">
              <v:fill type="solid"/>
            </v:rect>
            <v:line style="position:absolute" from="2909,7171" to="7604,7171" stroked="true" strokeweight="0pt" strokecolor="#dcdcdc">
              <v:stroke dashstyle="solid"/>
            </v:line>
            <v:rect style="position:absolute;left:7615;top:7159;width:3675;height:23" filled="true" fillcolor="#dcdcdc" stroked="false">
              <v:fill type="solid"/>
            </v:rect>
            <v:line style="position:absolute" from="7626,7171" to="11278,7171" stroked="true" strokeweight="0pt" strokecolor="#dcdcdc">
              <v:stroke dashstyle="solid"/>
            </v:line>
            <v:shape style="position:absolute;left:62;top:7181;width:11783;height:539" coordorigin="62,7182" coordsize="11783,539" path="m11845,7182l11289,7182,7615,7182,2897,7182,62,7182,62,7721,2897,7721,7615,7721,11289,7721,11845,7721,11845,7182e" filled="true" fillcolor="#f4f4f4" stroked="false">
              <v:path arrowok="t"/>
              <v:fill type="solid"/>
            </v:shape>
            <v:rect style="position:absolute;left:2897;top:7697;width:4718;height:23" filled="true" fillcolor="#dcdcdc" stroked="false">
              <v:fill type="solid"/>
            </v:rect>
            <v:line style="position:absolute" from="2909,7709" to="7604,7709" stroked="true" strokeweight="0pt" strokecolor="#dcdcdc">
              <v:stroke dashstyle="solid"/>
            </v:line>
            <v:rect style="position:absolute;left:7615;top:7697;width:3675;height:23" filled="true" fillcolor="#dcdcdc" stroked="false">
              <v:fill type="solid"/>
            </v:rect>
            <v:line style="position:absolute" from="7626,7709" to="11278,7709" stroked="true" strokeweight="0pt" strokecolor="#dcdcdc">
              <v:stroke dashstyle="solid"/>
            </v:line>
            <v:shape style="position:absolute;left:62;top:7720;width:11783;height:256" coordorigin="62,7721" coordsize="11783,256" path="m11845,7721l11289,7721,7615,7721,2897,7721,62,7721,62,7976,2897,7976,7615,7976,11289,7976,11845,7976,11845,7721e" filled="true" fillcolor="#f4f4f4" stroked="false">
              <v:path arrowok="t"/>
              <v:fill type="solid"/>
            </v:shape>
            <v:rect style="position:absolute;left:2897;top:7952;width:4718;height:23" filled="true" fillcolor="#dcdcdc" stroked="false">
              <v:fill type="solid"/>
            </v:rect>
            <v:line style="position:absolute" from="2909,7964" to="7604,7964" stroked="true" strokeweight="0pt" strokecolor="#dcdcdc">
              <v:stroke dashstyle="solid"/>
            </v:line>
            <v:rect style="position:absolute;left:7615;top:7952;width:3675;height:23" filled="true" fillcolor="#dcdcdc" stroked="false">
              <v:fill type="solid"/>
            </v:rect>
            <v:line style="position:absolute" from="7626,7964" to="11278,7964" stroked="true" strokeweight="0pt" strokecolor="#dcdcdc">
              <v:stroke dashstyle="solid"/>
            </v:line>
            <v:shape style="position:absolute;left:62;top:7975;width:11783;height:256" coordorigin="62,7976" coordsize="11783,256" path="m11845,7976l11289,7976,7615,7976,2897,7976,62,7976,62,8231,2897,8231,7615,8231,11289,8231,11845,8231,11845,7976e" filled="true" fillcolor="#f4f4f4" stroked="false">
              <v:path arrowok="t"/>
              <v:fill type="solid"/>
            </v:shape>
            <v:rect style="position:absolute;left:2897;top:8208;width:4718;height:23" filled="true" fillcolor="#dcdcdc" stroked="false">
              <v:fill type="solid"/>
            </v:rect>
            <v:line style="position:absolute" from="2909,8219" to="7604,8219" stroked="true" strokeweight="0pt" strokecolor="#dcdcdc">
              <v:stroke dashstyle="solid"/>
            </v:line>
            <v:rect style="position:absolute;left:7615;top:8208;width:3675;height:23" filled="true" fillcolor="#dcdcdc" stroked="false">
              <v:fill type="solid"/>
            </v:rect>
            <v:line style="position:absolute" from="7626,8219" to="11278,8219" stroked="true" strokeweight="0pt" strokecolor="#dcdcdc">
              <v:stroke dashstyle="solid"/>
            </v:line>
            <v:shape style="position:absolute;left:62;top:8230;width:11783;height:539" coordorigin="62,8231" coordsize="11783,539" path="m11845,8231l11289,8231,7615,8231,2897,8231,62,8231,62,8769,2897,8769,7615,8769,11289,8769,11845,8769,11845,8231e" filled="true" fillcolor="#f4f4f4" stroked="false">
              <v:path arrowok="t"/>
              <v:fill type="solid"/>
            </v:shape>
            <v:rect style="position:absolute;left:2897;top:8746;width:4718;height:23" filled="true" fillcolor="#dcdcdc" stroked="false">
              <v:fill type="solid"/>
            </v:rect>
            <v:line style="position:absolute" from="2909,8758" to="7604,8758" stroked="true" strokeweight="0pt" strokecolor="#dcdcdc">
              <v:stroke dashstyle="solid"/>
            </v:line>
            <v:rect style="position:absolute;left:7615;top:8746;width:3675;height:23" filled="true" fillcolor="#dcdcdc" stroked="false">
              <v:fill type="solid"/>
            </v:rect>
            <v:line style="position:absolute" from="7626,8758" to="11278,8758" stroked="true" strokeweight="0pt" strokecolor="#dcdcdc">
              <v:stroke dashstyle="solid"/>
            </v:line>
            <v:shape style="position:absolute;left:62;top:8769;width:11783;height:256" coordorigin="62,8769" coordsize="11783,256" path="m11845,8769l11289,8769,7615,8769,2897,8769,62,8769,62,9025,2897,9025,7615,9025,11289,9025,11845,9025,11845,8769e" filled="true" fillcolor="#f4f4f4" stroked="false">
              <v:path arrowok="t"/>
              <v:fill type="solid"/>
            </v:shape>
            <v:rect style="position:absolute;left:2897;top:9001;width:4718;height:23" filled="true" fillcolor="#dcdcdc" stroked="false">
              <v:fill type="solid"/>
            </v:rect>
            <v:line style="position:absolute" from="2909,9013" to="7604,9013" stroked="true" strokeweight="0pt" strokecolor="#dcdcdc">
              <v:stroke dashstyle="solid"/>
            </v:line>
            <v:rect style="position:absolute;left:7615;top:9001;width:3675;height:23" filled="true" fillcolor="#dcdcdc" stroked="false">
              <v:fill type="solid"/>
            </v:rect>
            <v:line style="position:absolute" from="7626,9013" to="11278,9013" stroked="true" strokeweight="0pt" strokecolor="#dcdcdc">
              <v:stroke dashstyle="solid"/>
            </v:line>
            <v:rect style="position:absolute;left:62;top:9024;width:11772;height:397" filled="true" fillcolor="#f4f4f4" stroked="false">
              <v:fill type="solid"/>
            </v:rect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72;top:2243;width:10232;height:522" type="#_x0000_t202" filled="false" stroked="false">
              <v:textbox inset="0,0,0,0">
                <w:txbxContent>
                  <w:p>
                    <w:pPr>
                      <w:spacing w:line="221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Ferrure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pour</w:t>
                    </w:r>
                    <w:r>
                      <w:rPr>
                        <w:b/>
                        <w:color w:val="003C78"/>
                        <w:spacing w:val="-1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portes</w:t>
                    </w:r>
                    <w:r>
                      <w:rPr>
                        <w:b/>
                        <w:color w:val="003C78"/>
                        <w:spacing w:val="-7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verre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à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haut</w:t>
                    </w:r>
                    <w:r>
                      <w:rPr>
                        <w:b/>
                        <w:color w:val="003C78"/>
                        <w:spacing w:val="-10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jusqu’à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250</w:t>
                    </w:r>
                    <w:r>
                      <w:rPr>
                        <w:b/>
                        <w:color w:val="003C78"/>
                        <w:spacing w:val="-6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kg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avec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rail</w:t>
                    </w:r>
                    <w:r>
                      <w:rPr>
                        <w:b/>
                        <w:color w:val="003C78"/>
                        <w:spacing w:val="-9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de</w:t>
                    </w:r>
                    <w:r>
                      <w:rPr>
                        <w:b/>
                        <w:color w:val="003C78"/>
                        <w:spacing w:val="-5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roulement</w:t>
                    </w:r>
                    <w:r>
                      <w:rPr>
                        <w:b/>
                        <w:color w:val="003C78"/>
                        <w:spacing w:val="-4"/>
                        <w:sz w:val="24"/>
                      </w:rPr>
                      <w:t> </w:t>
                    </w:r>
                    <w:r>
                      <w:rPr>
                        <w:b/>
                        <w:color w:val="003C78"/>
                        <w:sz w:val="24"/>
                      </w:rPr>
                      <w:t>en</w:t>
                    </w:r>
                  </w:p>
                  <w:p>
                    <w:pPr>
                      <w:spacing w:line="285" w:lineRule="exact" w:before="0"/>
                      <w:ind w:left="0" w:right="0" w:firstLine="0"/>
                      <w:jc w:val="lef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003C78"/>
                        <w:sz w:val="24"/>
                      </w:rPr>
                      <w:t>applique. Montage mural ou au plafond.</w:t>
                    </w:r>
                  </w:p>
                </w:txbxContent>
              </v:textbox>
              <w10:wrap type="none"/>
            </v:shape>
            <v:shape style="position:absolute;left:572;top:3508;width:1420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Produit phares</w:t>
                    </w:r>
                  </w:p>
                </w:txbxContent>
              </v:textbox>
              <w10:wrap type="none"/>
            </v:shape>
            <v:shape style="position:absolute;left:3464;top:3508;width:748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Confort</w:t>
                    </w:r>
                  </w:p>
                </w:txbxContent>
              </v:textbox>
              <w10:wrap type="none"/>
            </v:shape>
            <v:shape style="position:absolute;left:4881;top:3502;width:5702;height:432" type="#_x0000_t202" filled="false" stroked="false">
              <v:textbox inset="0,0,0,0">
                <w:txbxContent>
                  <w:p>
                    <w:pPr>
                      <w:spacing w:line="184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Roulements à billes en acier de haute qualité pour un roulement</w:t>
                    </w:r>
                  </w:p>
                  <w:p>
                    <w:pPr>
                      <w:spacing w:line="233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silencieux et facile, même avec des poids élevés</w:t>
                    </w:r>
                  </w:p>
                </w:txbxContent>
              </v:textbox>
              <w10:wrap type="none"/>
            </v:shape>
            <v:shape style="position:absolute;left:3464;top:4256;width:809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Sécurité</w:t>
                    </w:r>
                  </w:p>
                </w:txbxContent>
              </v:textbox>
              <w10:wrap type="none"/>
            </v:shape>
            <v:shape style="position:absolute;left:4881;top:4250;width:5751;height:199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Sécurité élevée grâce à une fixation pour paroi en verre solidaire</w:t>
                    </w:r>
                  </w:p>
                </w:txbxContent>
              </v:textbox>
              <w10:wrap type="none"/>
            </v:shape>
            <v:shape style="position:absolute;left:572;top:4931;width:5773;height:2240" type="#_x0000_t202" filled="false" stroked="false">
              <v:textbox inset="0,0,0,0">
                <w:txbxContent>
                  <w:p>
                    <w:pPr>
                      <w:tabs>
                        <w:tab w:pos="2324" w:val="left" w:leader="none"/>
                      </w:tabs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Consignes</w:t>
                    </w:r>
                    <w:r>
                      <w:rPr>
                        <w:b/>
                        <w:spacing w:val="-3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techniques</w:t>
                      <w:tab/>
                    </w:r>
                    <w:r>
                      <w:rPr>
                        <w:position w:val="1"/>
                        <w:sz w:val="20"/>
                      </w:rPr>
                      <w:t>Max. Poids de </w:t>
                    </w:r>
                    <w:r>
                      <w:rPr>
                        <w:spacing w:val="-3"/>
                        <w:position w:val="1"/>
                        <w:sz w:val="20"/>
                      </w:rPr>
                      <w:t>la </w:t>
                    </w:r>
                    <w:r>
                      <w:rPr>
                        <w:position w:val="1"/>
                        <w:sz w:val="20"/>
                      </w:rPr>
                      <w:t>porte</w:t>
                    </w:r>
                  </w:p>
                  <w:p>
                    <w:pPr>
                      <w:spacing w:line="261" w:lineRule="auto" w:before="10"/>
                      <w:ind w:left="2324" w:right="117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Épaisseur </w:t>
                    </w:r>
                    <w:r>
                      <w:rPr>
                        <w:spacing w:val="-3"/>
                        <w:sz w:val="20"/>
                      </w:rPr>
                      <w:t>de </w:t>
                    </w:r>
                    <w:r>
                      <w:rPr>
                        <w:sz w:val="20"/>
                      </w:rPr>
                      <w:t>la porte Max. Hauteur de </w:t>
                    </w:r>
                    <w:r>
                      <w:rPr>
                        <w:spacing w:val="-3"/>
                        <w:sz w:val="20"/>
                      </w:rPr>
                      <w:t>la </w:t>
                    </w:r>
                    <w:r>
                      <w:rPr>
                        <w:sz w:val="20"/>
                      </w:rPr>
                      <w:t>porte Max. Largeur de porte Hauteur max.</w:t>
                    </w:r>
                    <w:r>
                      <w:rPr>
                        <w:spacing w:val="-12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d`ouverture Réglage en hauteur Amortissement  Matérielle de</w:t>
                    </w:r>
                    <w:r>
                      <w:rPr>
                        <w:spacing w:val="1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porte</w:t>
                    </w:r>
                  </w:p>
                  <w:p>
                    <w:pPr>
                      <w:spacing w:before="6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Couleur de finition des profilés visibles</w:t>
                    </w:r>
                  </w:p>
                </w:txbxContent>
              </v:textbox>
              <w10:wrap type="none"/>
            </v:shape>
            <v:shape style="position:absolute;left:7615;top:4931;width:2251;height:224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250 kg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35–80 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4000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3000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before="21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2950</w:t>
                    </w:r>
                    <w:r>
                      <w:rPr>
                        <w:spacing w:val="-6"/>
                        <w:sz w:val="20"/>
                      </w:rPr>
                      <w:t> </w:t>
                    </w:r>
                    <w:r>
                      <w:rPr>
                        <w:sz w:val="20"/>
                      </w:rPr>
                      <w:t>mm</w:t>
                    </w:r>
                  </w:p>
                  <w:p>
                    <w:pPr>
                      <w:spacing w:line="261" w:lineRule="auto" w:before="22"/>
                      <w:ind w:left="0" w:right="1403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+/- 6 mm Non</w:t>
                    </w:r>
                  </w:p>
                  <w:p>
                    <w:pPr>
                      <w:spacing w:before="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Alu Verre Bois Mix; Métal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Acier inoxydable</w:t>
                    </w:r>
                  </w:p>
                </w:txbxContent>
              </v:textbox>
              <w10:wrap type="none"/>
            </v:shape>
            <v:shape style="position:absolute;left:572;top:7522;width:1886;height:199" type="#_x0000_t202" filled="false" stroked="false">
              <v:textbox inset="0,0,0,0">
                <w:txbxContent>
                  <w:p>
                    <w:pPr>
                      <w:spacing w:line="186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Version du système</w:t>
                    </w:r>
                  </w:p>
                </w:txbxContent>
              </v:textbox>
              <w10:wrap type="none"/>
            </v:shape>
            <v:shape style="position:absolute;left:2897;top:7510;width:1818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mural</w:t>
                    </w:r>
                  </w:p>
                  <w:p>
                    <w:pPr>
                      <w:spacing w:line="261" w:lineRule="auto" w:before="22"/>
                      <w:ind w:left="0" w:right="-7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Montage au plafond À roulement en haut</w:t>
                    </w:r>
                  </w:p>
                </w:txbxContent>
              </v:textbox>
              <w10:wrap type="none"/>
            </v:shape>
            <v:shape style="position:absolute;left:7615;top:7510;width:325;height:710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line="261" w:lineRule="auto" w:before="22"/>
                      <w:ind w:left="0" w:right="12" w:firstLine="0"/>
                      <w:jc w:val="left"/>
                      <w:rPr>
                        <w:sz w:val="20"/>
                      </w:rPr>
                    </w:pPr>
                    <w:r>
                      <w:rPr>
                        <w:w w:val="95"/>
                        <w:sz w:val="20"/>
                      </w:rPr>
                      <w:t>Oui Oui</w:t>
                    </w:r>
                  </w:p>
                </w:txbxContent>
              </v:textbox>
              <w10:wrap type="none"/>
            </v:shape>
            <v:shape style="position:absolute;left:572;top:8559;width:5927;height:455" type="#_x0000_t202" filled="false" stroked="false">
              <v:textbox inset="0,0,0,0">
                <w:txbxContent>
                  <w:p>
                    <w:pPr>
                      <w:spacing w:line="19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Suggestion d`utilisation </w:t>
                    </w:r>
                    <w:r>
                      <w:rPr>
                        <w:position w:val="1"/>
                        <w:sz w:val="20"/>
                      </w:rPr>
                      <w:t>Utilisation moyenne / Accès semi-public</w:t>
                    </w:r>
                  </w:p>
                  <w:p>
                    <w:pPr>
                      <w:spacing w:before="10"/>
                      <w:ind w:left="23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Utilisation élevée / Accès public</w:t>
                    </w:r>
                  </w:p>
                </w:txbxContent>
              </v:textbox>
              <w10:wrap type="none"/>
            </v:shape>
            <v:shape style="position:absolute;left:7615;top:8559;width:325;height:455" type="#_x0000_t202" filled="false" stroked="false">
              <v:textbox inset="0,0,0,0">
                <w:txbxContent>
                  <w:p>
                    <w:pPr>
                      <w:spacing w:line="185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  <w:p>
                    <w:pPr>
                      <w:spacing w:before="22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Oui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spacing w:before="11"/>
        <w:rPr>
          <w:sz w:val="25"/>
        </w:rPr>
      </w:pPr>
    </w:p>
    <w:p>
      <w:pPr>
        <w:pStyle w:val="Heading1"/>
        <w:tabs>
          <w:tab w:pos="2461" w:val="left" w:leader="none"/>
        </w:tabs>
        <w:spacing w:line="248" w:lineRule="exact" w:before="51"/>
      </w:pPr>
      <w:r>
        <w:rPr>
          <w:position w:val="1"/>
        </w:rPr>
        <w:t>Interfaces</w:t>
        <w:tab/>
      </w:r>
      <w:r>
        <w:rPr/>
        <w:t>Panneau de</w:t>
      </w:r>
      <w:r>
        <w:rPr>
          <w:spacing w:val="-2"/>
        </w:rPr>
        <w:t> </w:t>
      </w:r>
      <w:r>
        <w:rPr/>
        <w:t>porte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32" w:lineRule="exact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Fixation vissée de la bride de</w:t>
      </w:r>
      <w:r>
        <w:rPr>
          <w:spacing w:val="-3"/>
          <w:sz w:val="20"/>
        </w:rPr>
        <w:t> </w:t>
      </w:r>
      <w:r>
        <w:rPr>
          <w:sz w:val="20"/>
        </w:rPr>
        <w:t>support</w:t>
      </w:r>
    </w:p>
    <w:p>
      <w:pPr>
        <w:pStyle w:val="ListParagraph"/>
        <w:numPr>
          <w:ilvl w:val="0"/>
          <w:numId w:val="1"/>
        </w:numPr>
        <w:tabs>
          <w:tab w:pos="2618" w:val="left" w:leader="none"/>
        </w:tabs>
        <w:spacing w:line="240" w:lineRule="auto" w:before="0" w:after="0"/>
        <w:ind w:left="2617" w:right="0" w:hanging="156"/>
        <w:jc w:val="left"/>
        <w:rPr>
          <w:sz w:val="20"/>
        </w:rPr>
      </w:pPr>
      <w:r>
        <w:rPr>
          <w:sz w:val="20"/>
        </w:rPr>
        <w:t>Rainure de guidage (H × P) 30 × 13</w:t>
      </w:r>
      <w:r>
        <w:rPr>
          <w:spacing w:val="-8"/>
          <w:sz w:val="20"/>
        </w:rPr>
        <w:t> </w:t>
      </w:r>
      <w:r>
        <w:rPr>
          <w:sz w:val="20"/>
        </w:rPr>
        <w:t>mm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1"/>
        </w:rPr>
      </w:pPr>
    </w:p>
    <w:p>
      <w:pPr>
        <w:pStyle w:val="Heading1"/>
        <w:spacing w:line="238" w:lineRule="exact" w:before="48"/>
        <w:ind w:left="107"/>
      </w:pPr>
      <w:r>
        <w:rPr/>
        <w:t>Hawa Sliding Solutions AG</w:t>
      </w:r>
    </w:p>
    <w:p>
      <w:pPr>
        <w:pStyle w:val="BodyText"/>
        <w:spacing w:line="217" w:lineRule="exact"/>
        <w:ind w:left="106"/>
      </w:pPr>
      <w:r>
        <w:rPr/>
        <w:t>Untere Fischbachstrasse 4, 8932 Mettmenstetten, Suisse</w:t>
      </w:r>
    </w:p>
    <w:p>
      <w:pPr>
        <w:pStyle w:val="BodyText"/>
        <w:tabs>
          <w:tab w:pos="10826" w:val="right" w:leader="none"/>
        </w:tabs>
        <w:spacing w:line="248" w:lineRule="exact"/>
        <w:ind w:left="106"/>
      </w:pPr>
      <w:r>
        <w:rPr/>
        <w:t>Tél. +41 44 787 17 17,</w:t>
      </w:r>
      <w:r>
        <w:rPr>
          <w:spacing w:val="-17"/>
        </w:rPr>
        <w:t> </w:t>
      </w:r>
      <w:hyperlink r:id="rId9">
        <w:r>
          <w:rPr/>
          <w:t>info@hawa.com,</w:t>
        </w:r>
        <w:r>
          <w:rPr>
            <w:spacing w:val="-4"/>
          </w:rPr>
          <w:t> </w:t>
        </w:r>
      </w:hyperlink>
      <w:hyperlink r:id="rId10">
        <w:r>
          <w:rPr/>
          <w:t>www.hawa.com</w:t>
        </w:r>
      </w:hyperlink>
      <w:r>
        <w:rPr/>
        <w:tab/>
      </w:r>
      <w:r>
        <w:rPr>
          <w:position w:val="3"/>
        </w:rPr>
        <w:t>1</w:t>
      </w:r>
    </w:p>
    <w:sectPr>
      <w:type w:val="continuous"/>
      <w:pgSz w:w="11910" w:h="16840"/>
      <w:pgMar w:top="380" w:bottom="280" w:left="460" w:right="5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NeueLT Std">
    <w:altName w:val="HelveticaNeueLT Std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–"/>
      <w:lvlJc w:val="left"/>
      <w:pPr>
        <w:ind w:left="2617" w:hanging="156"/>
      </w:pPr>
      <w:rPr>
        <w:rFonts w:hint="default" w:ascii="HelveticaNeueLT Std" w:hAnsi="HelveticaNeueLT Std" w:eastAsia="HelveticaNeueLT Std" w:cs="HelveticaNeueLT Std"/>
        <w:w w:val="99"/>
        <w:sz w:val="20"/>
        <w:szCs w:val="20"/>
      </w:rPr>
    </w:lvl>
    <w:lvl w:ilvl="1">
      <w:start w:val="0"/>
      <w:numFmt w:val="bullet"/>
      <w:lvlText w:val="•"/>
      <w:lvlJc w:val="left"/>
      <w:pPr>
        <w:ind w:left="3450" w:hanging="15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4281" w:hanging="15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5112" w:hanging="15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943" w:hanging="15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774" w:hanging="15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7605" w:hanging="15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8436" w:hanging="15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9267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NeueLT Std" w:hAnsi="HelveticaNeueLT Std" w:eastAsia="HelveticaNeueLT Std" w:cs="HelveticaNeueLT Std"/>
    </w:rPr>
  </w:style>
  <w:style w:styleId="BodyText" w:type="paragraph">
    <w:name w:val="Body Text"/>
    <w:basedOn w:val="Normal"/>
    <w:uiPriority w:val="1"/>
    <w:qFormat/>
    <w:pPr/>
    <w:rPr>
      <w:rFonts w:ascii="HelveticaNeueLT Std" w:hAnsi="HelveticaNeueLT Std" w:eastAsia="HelveticaNeueLT Std" w:cs="HelveticaNeueLT Std"/>
      <w:sz w:val="20"/>
      <w:szCs w:val="20"/>
    </w:rPr>
  </w:style>
  <w:style w:styleId="Heading1" w:type="paragraph">
    <w:name w:val="Heading 1"/>
    <w:basedOn w:val="Normal"/>
    <w:uiPriority w:val="1"/>
    <w:qFormat/>
    <w:pPr>
      <w:spacing w:before="1"/>
      <w:ind w:left="112"/>
      <w:outlineLvl w:val="1"/>
    </w:pPr>
    <w:rPr>
      <w:rFonts w:ascii="HelveticaNeueLT Std" w:hAnsi="HelveticaNeueLT Std" w:eastAsia="HelveticaNeueLT Std" w:cs="HelveticaNeueLT Std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2617" w:hanging="156"/>
    </w:pPr>
    <w:rPr>
      <w:rFonts w:ascii="HelveticaNeueLT Std" w:hAnsi="HelveticaNeueLT Std" w:eastAsia="HelveticaNeueLT Std" w:cs="HelveticaNeueLT Std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hyperlink" Target="mailto:info@hawa.com" TargetMode="External"/><Relationship Id="rId10" Type="http://schemas.openxmlformats.org/officeDocument/2006/relationships/hyperlink" Target="http://www.hawa.com/" TargetMode="External"/><Relationship Id="rId1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&amp; Label Report</dc:title>
  <dcterms:created xsi:type="dcterms:W3CDTF">2023-02-22T09:35:32Z</dcterms:created>
  <dcterms:modified xsi:type="dcterms:W3CDTF">2023-02-22T09:35:32Z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combit® List &amp; Label® Report Generator (22.5.0.0)</vt:lpwstr>
  </property>
  <property fmtid="{D5CDD505-2E9C-101B-9397-08002B2CF9AE}" pid="4" name="LastSaved">
    <vt:filetime>2023-02-22T00:00:00Z</vt:filetime>
  </property>
</Properties>
</file>